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DF748" w14:textId="77777777" w:rsidR="00F34BEC" w:rsidRDefault="00F34BEC">
      <w:pPr>
        <w:pStyle w:val="Heading1"/>
        <w:rPr>
          <w:rFonts w:eastAsia="Times New Roman"/>
          <w:kern w:val="36"/>
          <w:sz w:val="48"/>
          <w:szCs w:val="48"/>
          <w14:ligatures w14:val="none"/>
        </w:rPr>
      </w:pPr>
      <w:r>
        <w:rPr>
          <w:rFonts w:eastAsia="Times New Roman"/>
        </w:rPr>
        <w:t>YOUTH PEACE &amp; JUSTICE FOUNDATION</w:t>
      </w:r>
    </w:p>
    <w:p w14:paraId="72C45F98" w14:textId="77777777" w:rsidR="00F34BEC" w:rsidRDefault="00F34BEC">
      <w:pPr>
        <w:pStyle w:val="Heading2"/>
        <w:rPr>
          <w:rFonts w:eastAsia="Times New Roman"/>
        </w:rPr>
      </w:pPr>
      <w:r>
        <w:rPr>
          <w:rFonts w:eastAsia="Times New Roman"/>
        </w:rPr>
        <w:t>2022–2026 Organizational Annual Report</w:t>
      </w:r>
    </w:p>
    <w:p w14:paraId="72942D45" w14:textId="77777777" w:rsidR="00F34BEC" w:rsidRDefault="00F34BEC">
      <w:pPr>
        <w:pStyle w:val="Heading3"/>
        <w:rPr>
          <w:rFonts w:eastAsia="Times New Roman"/>
        </w:rPr>
      </w:pPr>
      <w:r>
        <w:rPr>
          <w:rFonts w:eastAsia="Times New Roman"/>
        </w:rPr>
        <w:t>Mission, Financial Accountability, Programs &amp; Community Impact</w:t>
      </w:r>
    </w:p>
    <w:p w14:paraId="3999B537" w14:textId="77777777" w:rsidR="00F34BEC" w:rsidRDefault="00F34BEC">
      <w:pPr>
        <w:pStyle w:val="NormalWeb"/>
      </w:pPr>
      <w:r>
        <w:rPr>
          <w:rStyle w:val="Strong"/>
        </w:rPr>
        <w:t>Reporting Cutoff:</w:t>
      </w:r>
      <w:r>
        <w:t xml:space="preserve"> October 22, 2026</w:t>
      </w:r>
      <w:r>
        <w:br/>
      </w:r>
      <w:r>
        <w:rPr>
          <w:rStyle w:val="Strong"/>
        </w:rPr>
        <w:t>Prepared for:</w:t>
      </w:r>
      <w:r>
        <w:t xml:space="preserve"> Board of Directors, Donors, Community Partners, and Public Distribution</w:t>
      </w:r>
      <w:r>
        <w:br/>
      </w:r>
      <w:r>
        <w:rPr>
          <w:rStyle w:val="Strong"/>
        </w:rPr>
        <w:t>Organization:</w:t>
      </w:r>
      <w:r>
        <w:t xml:space="preserve"> Youth Peace &amp; Justice Foundation, also known as The Uvalde Foundation For Kids</w:t>
      </w:r>
      <w:r>
        <w:br/>
      </w:r>
      <w:r>
        <w:rPr>
          <w:rStyle w:val="Strong"/>
        </w:rPr>
        <w:t>Legal Name:</w:t>
      </w:r>
      <w:r>
        <w:t xml:space="preserve"> THE UVALDE FOUNDATION FOR KIDS</w:t>
      </w:r>
      <w:r>
        <w:br/>
      </w:r>
      <w:r>
        <w:rPr>
          <w:rStyle w:val="Strong"/>
        </w:rPr>
        <w:t>Charity ID/EIN:</w:t>
      </w:r>
      <w:r>
        <w:t xml:space="preserve"> 88-3268749</w:t>
      </w:r>
      <w:r>
        <w:br/>
      </w:r>
      <w:r>
        <w:rPr>
          <w:rStyle w:val="Strong"/>
        </w:rPr>
        <w:t>Website:</w:t>
      </w:r>
      <w:r>
        <w:t xml:space="preserve"> </w:t>
      </w:r>
      <w:hyperlink r:id="rId5" w:history="1">
        <w:r>
          <w:rPr>
            <w:rStyle w:val="Hyperlink"/>
          </w:rPr>
          <w:t>https://www.theuvaldefoundation.com</w:t>
        </w:r>
      </w:hyperlink>
      <w:r>
        <w:br/>
      </w:r>
      <w:r>
        <w:rPr>
          <w:rStyle w:val="Strong"/>
        </w:rPr>
        <w:t>Phone:</w:t>
      </w:r>
      <w:r>
        <w:t xml:space="preserve"> (254) 499-8027</w:t>
      </w:r>
      <w:r>
        <w:br/>
      </w:r>
      <w:r>
        <w:rPr>
          <w:rStyle w:val="Strong"/>
        </w:rPr>
        <w:t>Email:</w:t>
      </w:r>
      <w:r>
        <w:t xml:space="preserve"> </w:t>
      </w:r>
      <w:hyperlink r:id="rId6" w:history="1">
        <w:r>
          <w:rPr>
            <w:rStyle w:val="Hyperlink"/>
          </w:rPr>
          <w:t>youthpeacejusticefoundation@gmail.com</w:t>
        </w:r>
      </w:hyperlink>
    </w:p>
    <w:p w14:paraId="58C9D047" w14:textId="77777777" w:rsidR="00F34BEC" w:rsidRDefault="00F34BEC">
      <w:pPr>
        <w:pStyle w:val="NormalWeb"/>
      </w:pPr>
      <w:r>
        <w:rPr>
          <w:rStyle w:val="Strong"/>
        </w:rPr>
        <w:t>Report classification:</w:t>
      </w:r>
      <w:r>
        <w:t xml:space="preserve"> Organizational history and cumulative mission overview, with historical annual financial information and 2026 year-to-date reporting. The 2026 reporting period remains open.</w:t>
      </w:r>
    </w:p>
    <w:p w14:paraId="514810B4" w14:textId="77777777" w:rsidR="00F34BEC" w:rsidRDefault="00F34BEC">
      <w:pPr>
        <w:rPr>
          <w:rFonts w:eastAsia="Times New Roman"/>
        </w:rPr>
      </w:pPr>
      <w:r>
        <w:rPr>
          <w:rFonts w:eastAsia="Times New Roman"/>
          <w:noProof/>
        </w:rPr>
        <mc:AlternateContent>
          <mc:Choice Requires="wps">
            <w:drawing>
              <wp:inline distT="0" distB="0" distL="0" distR="0" wp14:anchorId="005782E9" wp14:editId="3845DD24">
                <wp:extent cx="5943600" cy="1270"/>
                <wp:effectExtent l="0" t="31750" r="0" b="36830"/>
                <wp:docPr id="608808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8E12CFE" id="Rectangle 1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4B5AC38" w14:textId="77777777" w:rsidR="00F34BEC" w:rsidRDefault="00F34BEC">
      <w:pPr>
        <w:pStyle w:val="Heading1"/>
        <w:rPr>
          <w:rFonts w:eastAsia="Times New Roman"/>
        </w:rPr>
      </w:pPr>
      <w:r>
        <w:rPr>
          <w:rFonts w:eastAsia="Times New Roman"/>
        </w:rPr>
        <w:t>EXECUTIVE SUMMARY</w:t>
      </w:r>
    </w:p>
    <w:p w14:paraId="589CD096" w14:textId="77777777" w:rsidR="00F34BEC" w:rsidRDefault="00F34BEC">
      <w:pPr>
        <w:pStyle w:val="NormalWeb"/>
      </w:pPr>
      <w:r>
        <w:t>Since its establishment in July 2022, the Youth Peace &amp; Justice Foundation, also known as The Uvalde Foundation For Kids, has developed from a grassroots response to the tragedy at Robb Elementary School in Uvalde, Texas, into a national youth advocacy, violence-prevention, and crisis-response organization.</w:t>
      </w:r>
    </w:p>
    <w:p w14:paraId="12FAE815" w14:textId="77777777" w:rsidR="00F34BEC" w:rsidRDefault="00F34BEC">
      <w:pPr>
        <w:pStyle w:val="NormalWeb"/>
      </w:pPr>
      <w:r>
        <w:t>The Foundation was created in the aftermath of the May 24, 2022, school shooting that devastated Uvalde and families across the country. Its early work was rooted in a commitment to stand with affected families and help young people and communities facing the consequences of violence.</w:t>
      </w:r>
    </w:p>
    <w:p w14:paraId="3EA61C16" w14:textId="77777777" w:rsidR="00F34BEC" w:rsidRDefault="00F34BEC">
      <w:pPr>
        <w:pStyle w:val="NormalWeb"/>
      </w:pPr>
      <w:r>
        <w:t>As the organization’s work expanded, so did its responsibilities. The Foundation developed programs and initiatives involving emergency assistance, crisis response, youth safety, bullying prevention, professional resource referrals, advocacy, scholarships, memorialization, and community-based support.</w:t>
      </w:r>
    </w:p>
    <w:p w14:paraId="05904326" w14:textId="77777777" w:rsidR="00F34BEC" w:rsidRDefault="00F34BEC">
      <w:pPr>
        <w:pStyle w:val="NormalWeb"/>
      </w:pPr>
      <w:r>
        <w:t>In 2025, the Foundation publicly formalized its national identity as the Youth Peace &amp; Justice Foundation and announced organizational restructuring and stronger financial-transparency commitments. The legal name associated with its tax filings remains THE UVALDE FOUNDATION FOR KIDS, EIN 88-3268749.</w:t>
      </w:r>
    </w:p>
    <w:p w14:paraId="0A6CC367" w14:textId="77777777" w:rsidR="00F34BEC" w:rsidRDefault="00F34BEC">
      <w:pPr>
        <w:pStyle w:val="NormalWeb"/>
      </w:pPr>
      <w:r>
        <w:t>The Foundation’s model emphasizes immediate response when communities experience violence or crisis, coupled with longer-term prevention, youth advocacy, community support, and efforts to address the conditions that allow violence to continue.</w:t>
      </w:r>
    </w:p>
    <w:p w14:paraId="0990FB8C" w14:textId="77777777" w:rsidR="00F34BEC" w:rsidRDefault="00F34BEC">
      <w:pPr>
        <w:pStyle w:val="NormalWeb"/>
      </w:pPr>
      <w:r>
        <w:t xml:space="preserve">During 2026, documented activities have included emergency relief for flood-affected families, crisis-response and counseling coordination, youth-support initiatives, scholarship development, memorial projects, and the launch and continued development of the National Gun Violence Response program. The Foundation has also continued building its </w:t>
      </w:r>
      <w:proofErr w:type="spellStart"/>
      <w:r>
        <w:t>AnchorPoint</w:t>
      </w:r>
      <w:proofErr w:type="spellEnd"/>
      <w:r>
        <w:t xml:space="preserve"> Safe House model and Trees for Peace memorial initiative.</w:t>
      </w:r>
    </w:p>
    <w:p w14:paraId="1A0ED505" w14:textId="77777777" w:rsidR="00F34BEC" w:rsidRDefault="00F34BEC">
      <w:pPr>
        <w:pStyle w:val="NormalWeb"/>
      </w:pPr>
      <w:r>
        <w:t>The Foundation’s financial reporting demonstrates both its continued mission activity and the importance of long-term sustainability. The published 2025 financial summary reports $49,963.23 in contributions, $51,019.83 in expenses, and a year-end deficit of $1,056.60. The organization reported zero liabilities for that fiscal year.</w:t>
      </w:r>
    </w:p>
    <w:p w14:paraId="460EEC45" w14:textId="77777777" w:rsidR="00F34BEC" w:rsidRDefault="00F34BEC">
      <w:pPr>
        <w:pStyle w:val="NormalWeb"/>
      </w:pPr>
      <w:r>
        <w:t>As of October 22, 2026, the Foundation’s confirmed reported cash position is $86.78, consisting of $9.35 in unrestricted cash and $77.43 in restricted cash. The Foundation remains debt-free in its current reported records, but unrestricted liquidity is critically low.</w:t>
      </w:r>
    </w:p>
    <w:p w14:paraId="458AE989" w14:textId="77777777" w:rsidR="00F34BEC" w:rsidRDefault="00F34BEC">
      <w:pPr>
        <w:pStyle w:val="NormalWeb"/>
      </w:pPr>
      <w:r>
        <w:t>This report presents the Foundation’s history, principal program areas, reported financial results, community impact, organizational challenges, and priorities for the future. It distinguishes historical financial statements from current cash figures and estimated mission-impact measures.</w:t>
      </w:r>
    </w:p>
    <w:p w14:paraId="7D2DF7C5" w14:textId="77777777" w:rsidR="00F34BEC" w:rsidRDefault="00F34BEC">
      <w:pPr>
        <w:rPr>
          <w:rFonts w:eastAsia="Times New Roman"/>
        </w:rPr>
      </w:pPr>
      <w:r>
        <w:rPr>
          <w:rFonts w:eastAsia="Times New Roman"/>
          <w:noProof/>
        </w:rPr>
        <mc:AlternateContent>
          <mc:Choice Requires="wps">
            <w:drawing>
              <wp:inline distT="0" distB="0" distL="0" distR="0" wp14:anchorId="6B418645" wp14:editId="4BC8E546">
                <wp:extent cx="5943600" cy="1270"/>
                <wp:effectExtent l="0" t="31750" r="0" b="36830"/>
                <wp:docPr id="137624230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C539165"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78739F3" w14:textId="77777777" w:rsidR="00F34BEC" w:rsidRDefault="00F34BEC">
      <w:pPr>
        <w:pStyle w:val="Heading1"/>
        <w:rPr>
          <w:rFonts w:eastAsia="Times New Roman"/>
        </w:rPr>
      </w:pPr>
      <w:r>
        <w:rPr>
          <w:rFonts w:eastAsia="Times New Roman"/>
        </w:rPr>
        <w:t>1. ORGANIZATIONAL HISTORY: 2022–2026</w:t>
      </w:r>
    </w:p>
    <w:p w14:paraId="49C70302" w14:textId="77777777" w:rsidR="00F34BEC" w:rsidRDefault="00F34BEC">
      <w:pPr>
        <w:pStyle w:val="Heading2"/>
        <w:rPr>
          <w:rFonts w:eastAsia="Times New Roman"/>
        </w:rPr>
      </w:pPr>
      <w:r>
        <w:rPr>
          <w:rFonts w:eastAsia="Times New Roman"/>
        </w:rPr>
        <w:t>2022 — Founding and the Uvalde Response</w:t>
      </w:r>
    </w:p>
    <w:p w14:paraId="72CB347F" w14:textId="77777777" w:rsidR="00F34BEC" w:rsidRDefault="00F34BEC">
      <w:pPr>
        <w:pStyle w:val="NormalWeb"/>
      </w:pPr>
      <w:r>
        <w:t>The Foundation was formed on July 13, 2022, in the aftermath of the Robb Elementary School shooting in Uvalde, Texas.</w:t>
      </w:r>
    </w:p>
    <w:p w14:paraId="78A9E4FE" w14:textId="77777777" w:rsidR="00F34BEC" w:rsidRDefault="00F34BEC">
      <w:pPr>
        <w:pStyle w:val="NormalWeb"/>
      </w:pPr>
      <w:r>
        <w:t>Its beginnings were grassroots in nature. The early mission was to respond to the tragedy, support affected families, and help communities that were struggling with the devastating consequences of school violence.</w:t>
      </w:r>
    </w:p>
    <w:p w14:paraId="28C2E407" w14:textId="77777777" w:rsidR="00F34BEC" w:rsidRDefault="00F34BEC">
      <w:pPr>
        <w:pStyle w:val="NormalWeb"/>
      </w:pPr>
      <w:r>
        <w:t>The organization’s founding reflected a belief that children and families affected by violence deserve more than expressions of sympathy. They need practical assistance, sustained community support, opportunities for healing, and meaningful efforts to prevent future tragedies.</w:t>
      </w:r>
    </w:p>
    <w:p w14:paraId="57B2AED8" w14:textId="77777777" w:rsidR="00F34BEC" w:rsidRDefault="00F34BEC">
      <w:pPr>
        <w:pStyle w:val="NormalWeb"/>
      </w:pPr>
      <w:r>
        <w:t>The original Uvalde-focused identity reflected the circumstances that brought the organization into existence. Over time, the Foundation’s work developed beyond a single community or incident.</w:t>
      </w:r>
    </w:p>
    <w:p w14:paraId="7CEA6730" w14:textId="77777777" w:rsidR="00F34BEC" w:rsidRDefault="00F34BEC">
      <w:pPr>
        <w:pStyle w:val="NormalWeb"/>
      </w:pPr>
      <w:r>
        <w:t>The founding principle remained the same: young people deserve safe communities, families deserve support during crises, and the loss of a child must not become an occasion for temporary attention followed by inaction.</w:t>
      </w:r>
    </w:p>
    <w:p w14:paraId="47858AA8" w14:textId="77777777" w:rsidR="00F34BEC" w:rsidRDefault="00F34BEC">
      <w:pPr>
        <w:pStyle w:val="Heading2"/>
        <w:rPr>
          <w:rFonts w:eastAsia="Times New Roman"/>
        </w:rPr>
      </w:pPr>
      <w:r>
        <w:rPr>
          <w:rFonts w:eastAsia="Times New Roman"/>
        </w:rPr>
        <w:t>2023 — Continuing the Mission and Building Capacity</w:t>
      </w:r>
    </w:p>
    <w:p w14:paraId="6925305C" w14:textId="77777777" w:rsidR="00F34BEC" w:rsidRDefault="00F34BEC">
      <w:pPr>
        <w:pStyle w:val="NormalWeb"/>
      </w:pPr>
      <w:r>
        <w:t>The Foundation continued developing its organizational and charitable activities following its establishment.</w:t>
      </w:r>
    </w:p>
    <w:p w14:paraId="52BD37C0" w14:textId="77777777" w:rsidR="00F34BEC" w:rsidRDefault="00F34BEC">
      <w:pPr>
        <w:pStyle w:val="NormalWeb"/>
      </w:pPr>
      <w:r>
        <w:t>Its broader mission increasingly involved youth safety, violence prevention, community outreach, family support, and advocacy.</w:t>
      </w:r>
    </w:p>
    <w:p w14:paraId="4010A408" w14:textId="77777777" w:rsidR="00F34BEC" w:rsidRDefault="00F34BEC">
      <w:pPr>
        <w:pStyle w:val="NormalWeb"/>
      </w:pPr>
      <w:r>
        <w:t>The Foundation’s financial and tax records for its early operating years are referenced through its financial transparency resources. Historical annual financial figures should be taken from the corresponding filed returns and records rather than reconstructed from later monthly reports.</w:t>
      </w:r>
    </w:p>
    <w:p w14:paraId="5971943B" w14:textId="77777777" w:rsidR="00F34BEC" w:rsidRDefault="00F34BEC">
      <w:pPr>
        <w:pStyle w:val="NormalWeb"/>
      </w:pPr>
      <w:r>
        <w:t>The Foundation’s complete financial archive is available through its Financials &amp; Other Business page:</w:t>
      </w:r>
    </w:p>
    <w:p w14:paraId="755086A7" w14:textId="77777777" w:rsidR="00F34BEC" w:rsidRDefault="00F34BEC">
      <w:pPr>
        <w:pStyle w:val="NormalWeb"/>
      </w:pPr>
      <w:hyperlink r:id="rId7" w:history="1">
        <w:r>
          <w:rPr>
            <w:rStyle w:val="Hyperlink"/>
          </w:rPr>
          <w:t>https://www.theuvaldefoundation.com/general-8</w:t>
        </w:r>
      </w:hyperlink>
    </w:p>
    <w:p w14:paraId="2D4AB219" w14:textId="77777777" w:rsidR="00F34BEC" w:rsidRDefault="00F34BEC">
      <w:pPr>
        <w:pStyle w:val="Heading2"/>
        <w:rPr>
          <w:rFonts w:eastAsia="Times New Roman"/>
        </w:rPr>
      </w:pPr>
      <w:r>
        <w:rPr>
          <w:rFonts w:eastAsia="Times New Roman"/>
        </w:rPr>
        <w:t>2024 — A More Decentralized National Model</w:t>
      </w:r>
    </w:p>
    <w:p w14:paraId="259F4578" w14:textId="77777777" w:rsidR="00F34BEC" w:rsidRDefault="00F34BEC">
      <w:pPr>
        <w:pStyle w:val="NormalWeb"/>
      </w:pPr>
      <w:r>
        <w:t>Beginning in 2024, the Foundation moved away from maintaining one central headquarters as its principal operational model and developed a more decentralized approach involving residency chapters and community-based operations.</w:t>
      </w:r>
    </w:p>
    <w:p w14:paraId="6A38E502" w14:textId="77777777" w:rsidR="00F34BEC" w:rsidRDefault="00F34BEC">
      <w:pPr>
        <w:pStyle w:val="NormalWeb"/>
      </w:pPr>
      <w:r>
        <w:t>This approach was intended to bring support closer to the communities served while reducing the need for a large centralized physical infrastructure.</w:t>
      </w:r>
    </w:p>
    <w:p w14:paraId="23B66475" w14:textId="77777777" w:rsidR="00F34BEC" w:rsidRDefault="00F34BEC">
      <w:pPr>
        <w:pStyle w:val="NormalWeb"/>
      </w:pPr>
      <w:r>
        <w:t>The model relies on local relationships, professional volunteers, community partners, and distributed capacity to support work in different locations.</w:t>
      </w:r>
    </w:p>
    <w:p w14:paraId="2738911B" w14:textId="77777777" w:rsidR="00F34BEC" w:rsidRDefault="00F34BEC">
      <w:pPr>
        <w:pStyle w:val="NormalWeb"/>
      </w:pPr>
      <w:r>
        <w:t>The Foundation’s approach recognizes that the needs of a community affected by violence or crisis can vary significantly. A decentralized structure can help the organization develop relationships with people familiar with local conditions and resources.</w:t>
      </w:r>
    </w:p>
    <w:p w14:paraId="40237FEA" w14:textId="77777777" w:rsidR="00F34BEC" w:rsidRDefault="00F34BEC">
      <w:pPr>
        <w:pStyle w:val="NormalWeb"/>
      </w:pPr>
      <w:r>
        <w:t>The model also places a responsibility on the Foundation to maintain consistent oversight, documentation, accountability, and safety standards across its activities.</w:t>
      </w:r>
    </w:p>
    <w:p w14:paraId="2CEF1C4F" w14:textId="77777777" w:rsidR="00F34BEC" w:rsidRDefault="00F34BEC">
      <w:pPr>
        <w:pStyle w:val="Heading2"/>
        <w:rPr>
          <w:rFonts w:eastAsia="Times New Roman"/>
        </w:rPr>
      </w:pPr>
      <w:r>
        <w:rPr>
          <w:rFonts w:eastAsia="Times New Roman"/>
        </w:rPr>
        <w:t>2025 — National Identity, Transparency, and Organizational Reform</w:t>
      </w:r>
    </w:p>
    <w:p w14:paraId="6C1DD68B" w14:textId="77777777" w:rsidR="00F34BEC" w:rsidRDefault="00F34BEC">
      <w:pPr>
        <w:pStyle w:val="NormalWeb"/>
      </w:pPr>
      <w:r>
        <w:t>In October 2025, the Foundation publicly announced its rebranding as the Youth Peace &amp; Justice Foundation, also known as The Uvalde Foundation For Kids.</w:t>
      </w:r>
    </w:p>
    <w:p w14:paraId="4FBC7626" w14:textId="77777777" w:rsidR="00F34BEC" w:rsidRDefault="00F34BEC">
      <w:pPr>
        <w:pStyle w:val="NormalWeb"/>
      </w:pPr>
      <w:r>
        <w:t>The rebranding reflected the national scope of its work and its focus on youth advocacy, violence prevention, crisis response, and community safety.</w:t>
      </w:r>
    </w:p>
    <w:p w14:paraId="0C0D7FFA" w14:textId="77777777" w:rsidR="00F34BEC" w:rsidRDefault="00F34BEC">
      <w:pPr>
        <w:pStyle w:val="NormalWeb"/>
      </w:pPr>
      <w:r>
        <w:t>The Foundation also publicly acknowledged the need for clearer communications, improved financial disclosure, and stronger governance practices. Its October 2025 announcements described a renewed commitment to financial transparency, clearer program definitions, and more structured organizational oversight.</w:t>
      </w:r>
    </w:p>
    <w:p w14:paraId="7CF34A12" w14:textId="77777777" w:rsidR="00F34BEC" w:rsidRDefault="00F34BEC">
      <w:pPr>
        <w:pStyle w:val="NormalWeb"/>
      </w:pPr>
      <w:r>
        <w:t>The organization’s published financial summary for the fiscal year ending November 30, 2025, reported:</w:t>
      </w:r>
    </w:p>
    <w:p w14:paraId="1C6D93D8" w14:textId="77777777" w:rsidR="00F34BEC" w:rsidRDefault="00F34BEC">
      <w:pPr>
        <w:pStyle w:val="NormalWeb"/>
        <w:numPr>
          <w:ilvl w:val="0"/>
          <w:numId w:val="1"/>
        </w:numPr>
      </w:pPr>
      <w:r>
        <w:t>Total contributions: $49,963.23.</w:t>
      </w:r>
    </w:p>
    <w:p w14:paraId="32CD9053" w14:textId="77777777" w:rsidR="00F34BEC" w:rsidRDefault="00F34BEC">
      <w:pPr>
        <w:pStyle w:val="NormalWeb"/>
        <w:numPr>
          <w:ilvl w:val="0"/>
          <w:numId w:val="1"/>
        </w:numPr>
      </w:pPr>
      <w:r>
        <w:t>Total expenses: $51,019.83.</w:t>
      </w:r>
    </w:p>
    <w:p w14:paraId="1326853D" w14:textId="77777777" w:rsidR="00F34BEC" w:rsidRDefault="00F34BEC">
      <w:pPr>
        <w:pStyle w:val="NormalWeb"/>
        <w:numPr>
          <w:ilvl w:val="0"/>
          <w:numId w:val="1"/>
        </w:numPr>
      </w:pPr>
      <w:r>
        <w:t>Annual deficit: $1,056.60.</w:t>
      </w:r>
    </w:p>
    <w:p w14:paraId="47D23AC5" w14:textId="77777777" w:rsidR="00F34BEC" w:rsidRDefault="00F34BEC">
      <w:pPr>
        <w:pStyle w:val="NormalWeb"/>
        <w:numPr>
          <w:ilvl w:val="0"/>
          <w:numId w:val="1"/>
        </w:numPr>
      </w:pPr>
      <w:r>
        <w:t>Ending cash/assets figure reported in the financial summary: $13,943.40.</w:t>
      </w:r>
    </w:p>
    <w:p w14:paraId="67256796" w14:textId="77777777" w:rsidR="00F34BEC" w:rsidRDefault="00F34BEC">
      <w:pPr>
        <w:pStyle w:val="NormalWeb"/>
        <w:numPr>
          <w:ilvl w:val="0"/>
          <w:numId w:val="1"/>
        </w:numPr>
      </w:pPr>
      <w:r>
        <w:t>Liabilities: $0.00.</w:t>
      </w:r>
    </w:p>
    <w:p w14:paraId="2103E566" w14:textId="77777777" w:rsidR="00F34BEC" w:rsidRDefault="00F34BEC">
      <w:pPr>
        <w:pStyle w:val="NormalWeb"/>
        <w:numPr>
          <w:ilvl w:val="0"/>
          <w:numId w:val="1"/>
        </w:numPr>
      </w:pPr>
      <w:r>
        <w:t>Program service ratio: 76.95%.</w:t>
      </w:r>
    </w:p>
    <w:p w14:paraId="2D842FDB" w14:textId="77777777" w:rsidR="00F34BEC" w:rsidRDefault="00F34BEC">
      <w:pPr>
        <w:pStyle w:val="NormalWeb"/>
      </w:pPr>
      <w:r>
        <w:t>The year-end deficit was covered through existing reserves, according to the Foundation’s published financial summary. That report also identified increased fundraising and stronger financial sustainability as priorities.</w:t>
      </w:r>
    </w:p>
    <w:p w14:paraId="432CA812" w14:textId="77777777" w:rsidR="00F34BEC" w:rsidRDefault="00F34BEC">
      <w:pPr>
        <w:pStyle w:val="NormalWeb"/>
      </w:pPr>
      <w:r>
        <w:t>The 2025 program service ratio is a reported annual financial measure. It should not be directly compared with cash-only program expense percentages from individual 2026 monthly reports because the reporting periods and measurement methods differ.</w:t>
      </w:r>
    </w:p>
    <w:p w14:paraId="23388745" w14:textId="77777777" w:rsidR="00F34BEC" w:rsidRDefault="00F34BEC">
      <w:pPr>
        <w:pStyle w:val="NormalWeb"/>
      </w:pPr>
      <w:r>
        <w:t>The Foundation’s public financial resources, including the 2025 Form 990-EZ report, are available at:</w:t>
      </w:r>
    </w:p>
    <w:p w14:paraId="4AAA158B" w14:textId="77777777" w:rsidR="00F34BEC" w:rsidRDefault="00F34BEC">
      <w:pPr>
        <w:pStyle w:val="NormalWeb"/>
      </w:pPr>
      <w:hyperlink r:id="rId8" w:history="1">
        <w:r>
          <w:rPr>
            <w:rStyle w:val="Hyperlink"/>
          </w:rPr>
          <w:t>https://www.theuvaldefoundation.com/general-8</w:t>
        </w:r>
      </w:hyperlink>
    </w:p>
    <w:p w14:paraId="7A09472A" w14:textId="77777777" w:rsidR="00F34BEC" w:rsidRDefault="00F34BEC">
      <w:pPr>
        <w:pStyle w:val="Heading2"/>
        <w:rPr>
          <w:rFonts w:eastAsia="Times New Roman"/>
        </w:rPr>
      </w:pPr>
      <w:r>
        <w:rPr>
          <w:rFonts w:eastAsia="Times New Roman"/>
        </w:rPr>
        <w:t>2026 — National Response, Program Development, and Sustainability</w:t>
      </w:r>
    </w:p>
    <w:p w14:paraId="50FC1603" w14:textId="77777777" w:rsidR="00F34BEC" w:rsidRDefault="00F34BEC">
      <w:pPr>
        <w:pStyle w:val="NormalWeb"/>
      </w:pPr>
      <w:r>
        <w:t>During 2026, the Foundation continued its work in emergency assistance, crisis-response coordination, youth safety, scholarship development, advocacy, and memorial initiatives.</w:t>
      </w:r>
    </w:p>
    <w:p w14:paraId="71E53F63" w14:textId="77777777" w:rsidR="00F34BEC" w:rsidRDefault="00F34BEC">
      <w:pPr>
        <w:pStyle w:val="NormalWeb"/>
      </w:pPr>
      <w:r>
        <w:t xml:space="preserve">The organization’s current program model includes the National Gun Violence Response program, Community Crisis Response, bullying prevention, youth advocacy, </w:t>
      </w:r>
      <w:proofErr w:type="spellStart"/>
      <w:r>
        <w:t>AnchorPoint</w:t>
      </w:r>
      <w:proofErr w:type="spellEnd"/>
      <w:r>
        <w:t xml:space="preserve"> Safe Houses, Trees for Peace, and scholarship initiatives.</w:t>
      </w:r>
    </w:p>
    <w:p w14:paraId="02BDB20E" w14:textId="77777777" w:rsidR="00F34BEC" w:rsidRDefault="00F34BEC">
      <w:pPr>
        <w:pStyle w:val="NormalWeb"/>
      </w:pPr>
      <w:r>
        <w:t>The Foundation has reported assisting flood-affected families, supporting communities after shootings, coordinating professional and volunteer services, and developing a more established pathway for eligible youth victims of gun violence and their families to seek emergency assistance.</w:t>
      </w:r>
    </w:p>
    <w:p w14:paraId="42646494" w14:textId="77777777" w:rsidR="00F34BEC" w:rsidRDefault="00F34BEC">
      <w:pPr>
        <w:pStyle w:val="NormalWeb"/>
      </w:pPr>
      <w:r>
        <w:t>The Foundation has also continued to develop its donor base, seek institutional and corporate partnerships, and improve its financial reporting.</w:t>
      </w:r>
    </w:p>
    <w:p w14:paraId="20736307" w14:textId="77777777" w:rsidR="00F34BEC" w:rsidRDefault="00F34BEC">
      <w:pPr>
        <w:pStyle w:val="NormalWeb"/>
      </w:pPr>
      <w:r>
        <w:t>The central challenge entering the final months of 2026 is sustainability: the Foundation’s mission activity remains substantial, but its unrestricted operating cash is extremely limited.</w:t>
      </w:r>
    </w:p>
    <w:p w14:paraId="05AAC52F" w14:textId="77777777" w:rsidR="00F34BEC" w:rsidRDefault="00F34BEC">
      <w:pPr>
        <w:rPr>
          <w:rFonts w:eastAsia="Times New Roman"/>
        </w:rPr>
      </w:pPr>
      <w:r>
        <w:rPr>
          <w:rFonts w:eastAsia="Times New Roman"/>
          <w:noProof/>
        </w:rPr>
        <mc:AlternateContent>
          <mc:Choice Requires="wps">
            <w:drawing>
              <wp:inline distT="0" distB="0" distL="0" distR="0" wp14:anchorId="751090F5" wp14:editId="179601BD">
                <wp:extent cx="5943600" cy="1270"/>
                <wp:effectExtent l="0" t="31750" r="0" b="36830"/>
                <wp:docPr id="185523933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8BEDF15"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35B540D" w14:textId="77777777" w:rsidR="00F34BEC" w:rsidRDefault="00F34BEC">
      <w:pPr>
        <w:pStyle w:val="Heading1"/>
        <w:rPr>
          <w:rFonts w:eastAsia="Times New Roman"/>
        </w:rPr>
      </w:pPr>
      <w:r>
        <w:rPr>
          <w:rFonts w:eastAsia="Times New Roman"/>
        </w:rPr>
        <w:t>2. MISSION AND ORGANIZATIONAL PURPOSE</w:t>
      </w:r>
    </w:p>
    <w:p w14:paraId="61B41E22" w14:textId="77777777" w:rsidR="00F34BEC" w:rsidRDefault="00F34BEC">
      <w:pPr>
        <w:pStyle w:val="NormalWeb"/>
      </w:pPr>
      <w:r>
        <w:t>The Youth Peace &amp; Justice Foundation is dedicated to youth safety, violence prevention, crisis response, advocacy, and community support.</w:t>
      </w:r>
    </w:p>
    <w:p w14:paraId="55F4ED05" w14:textId="77777777" w:rsidR="00F34BEC" w:rsidRDefault="00F34BEC">
      <w:pPr>
        <w:pStyle w:val="NormalWeb"/>
      </w:pPr>
      <w:r>
        <w:t>Its work is guided by the principle:</w:t>
      </w:r>
    </w:p>
    <w:p w14:paraId="3035BD85" w14:textId="77777777" w:rsidR="00F34BEC" w:rsidRDefault="00F34BEC">
      <w:pPr>
        <w:pStyle w:val="Heading2"/>
        <w:rPr>
          <w:rFonts w:eastAsia="Times New Roman"/>
        </w:rPr>
      </w:pPr>
      <w:r>
        <w:rPr>
          <w:rFonts w:eastAsia="Times New Roman"/>
        </w:rPr>
        <w:t>Recognize. Intervene. Prevent.</w:t>
      </w:r>
    </w:p>
    <w:p w14:paraId="18B475F4" w14:textId="77777777" w:rsidR="00F34BEC" w:rsidRDefault="00F34BEC">
      <w:pPr>
        <w:pStyle w:val="NormalWeb"/>
      </w:pPr>
      <w:r>
        <w:rPr>
          <w:rStyle w:val="Strong"/>
        </w:rPr>
        <w:t>Recognize</w:t>
      </w:r>
      <w:r>
        <w:t xml:space="preserve"> means identifying threats, crises, unmet needs, and circumstances that place young people and families at risk.</w:t>
      </w:r>
    </w:p>
    <w:p w14:paraId="5E1DD4ED" w14:textId="77777777" w:rsidR="00F34BEC" w:rsidRDefault="00F34BEC">
      <w:pPr>
        <w:pStyle w:val="NormalWeb"/>
      </w:pPr>
      <w:r>
        <w:rPr>
          <w:rStyle w:val="Strong"/>
        </w:rPr>
        <w:t>Intervene</w:t>
      </w:r>
      <w:r>
        <w:t xml:space="preserve"> means connecting affected individuals and communities with practical assistance, crisis-response resources, professional services, and appropriate support.</w:t>
      </w:r>
    </w:p>
    <w:p w14:paraId="397E6649" w14:textId="77777777" w:rsidR="00F34BEC" w:rsidRDefault="00F34BEC">
      <w:pPr>
        <w:pStyle w:val="NormalWeb"/>
      </w:pPr>
      <w:r>
        <w:rPr>
          <w:rStyle w:val="Strong"/>
        </w:rPr>
        <w:t>Prevent</w:t>
      </w:r>
      <w:r>
        <w:t xml:space="preserve"> means working toward safer schools and communities through advocacy, youth engagement, bullying prevention, restorative approaches, public education, and longer-term community initiatives.</w:t>
      </w:r>
    </w:p>
    <w:p w14:paraId="4126BE5C" w14:textId="77777777" w:rsidR="00F34BEC" w:rsidRDefault="00F34BEC">
      <w:pPr>
        <w:pStyle w:val="NormalWeb"/>
      </w:pPr>
      <w:r>
        <w:t>The Foundation’s approach recognizes that crisis response and prevention are connected. Immediate assistance can help families navigate the aftermath of violence, while sustained prevention and advocacy can address broader conditions affecting youth safety.</w:t>
      </w:r>
    </w:p>
    <w:p w14:paraId="06619FF9" w14:textId="77777777" w:rsidR="00F34BEC" w:rsidRDefault="00F34BEC">
      <w:pPr>
        <w:pStyle w:val="NormalWeb"/>
      </w:pPr>
      <w:r>
        <w:t>All services and outreach are intended to be provided without requiring payment or a donation in exchange for assistance.</w:t>
      </w:r>
    </w:p>
    <w:p w14:paraId="6A42D10C" w14:textId="77777777" w:rsidR="00F34BEC" w:rsidRDefault="00F34BEC">
      <w:pPr>
        <w:rPr>
          <w:rFonts w:eastAsia="Times New Roman"/>
        </w:rPr>
      </w:pPr>
      <w:r>
        <w:rPr>
          <w:rFonts w:eastAsia="Times New Roman"/>
          <w:noProof/>
        </w:rPr>
        <mc:AlternateContent>
          <mc:Choice Requires="wps">
            <w:drawing>
              <wp:inline distT="0" distB="0" distL="0" distR="0" wp14:anchorId="70CD775D" wp14:editId="15692479">
                <wp:extent cx="5943600" cy="1270"/>
                <wp:effectExtent l="0" t="31750" r="0" b="36830"/>
                <wp:docPr id="117940040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ED850A3"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05A9F0A" w14:textId="77777777" w:rsidR="00F34BEC" w:rsidRDefault="00F34BEC">
      <w:pPr>
        <w:pStyle w:val="Heading1"/>
        <w:rPr>
          <w:rFonts w:eastAsia="Times New Roman"/>
        </w:rPr>
      </w:pPr>
      <w:r>
        <w:rPr>
          <w:rFonts w:eastAsia="Times New Roman"/>
        </w:rPr>
        <w:t>3. NATIONAL PROGRAMS AND INITIATIVES</w:t>
      </w:r>
    </w:p>
    <w:p w14:paraId="4F9408C4" w14:textId="77777777" w:rsidR="00F34BEC" w:rsidRDefault="00F34BEC">
      <w:pPr>
        <w:pStyle w:val="Heading2"/>
        <w:rPr>
          <w:rFonts w:eastAsia="Times New Roman"/>
        </w:rPr>
      </w:pPr>
      <w:r>
        <w:rPr>
          <w:rFonts w:eastAsia="Times New Roman"/>
        </w:rPr>
        <w:t>National Gun Violence Response</w:t>
      </w:r>
    </w:p>
    <w:p w14:paraId="7D2121A3" w14:textId="77777777" w:rsidR="00F34BEC" w:rsidRDefault="00F34BEC">
      <w:pPr>
        <w:pStyle w:val="NormalWeb"/>
      </w:pPr>
      <w:r>
        <w:t>The Foundation’s National Gun Violence Response program is designed to provide an established pathway for eligible youth victims of gun violence and their families to seek emergency assistance.</w:t>
      </w:r>
    </w:p>
    <w:p w14:paraId="7B1473A1" w14:textId="77777777" w:rsidR="00F34BEC" w:rsidRDefault="00F34BEC">
      <w:pPr>
        <w:pStyle w:val="NormalWeb"/>
      </w:pPr>
      <w:r>
        <w:t>The program is intended to reduce reliance on organizing a new fundraising campaign for every incident. Its broader framework may include emergency financial assistance, crisis intervention, counseling referrals, peer support, family resource coordination, and connections to appropriate community services.</w:t>
      </w:r>
    </w:p>
    <w:p w14:paraId="5AA4ECA2" w14:textId="77777777" w:rsidR="00F34BEC" w:rsidRDefault="00F34BEC">
      <w:pPr>
        <w:pStyle w:val="NormalWeb"/>
      </w:pPr>
      <w:r>
        <w:t>Eligibility, verification, urgency, available funding, and individual circumstances affect what assistance can be provided. An application does not guarantee approval or a specific amount of support.</w:t>
      </w:r>
    </w:p>
    <w:p w14:paraId="0416FA84" w14:textId="77777777" w:rsidR="00F34BEC" w:rsidRDefault="00F34BEC">
      <w:pPr>
        <w:pStyle w:val="NormalWeb"/>
      </w:pPr>
      <w:r>
        <w:t>Program information:</w:t>
      </w:r>
    </w:p>
    <w:p w14:paraId="00955081" w14:textId="77777777" w:rsidR="00F34BEC" w:rsidRDefault="00F34BEC">
      <w:pPr>
        <w:pStyle w:val="NormalWeb"/>
      </w:pPr>
      <w:hyperlink r:id="rId9" w:history="1">
        <w:r>
          <w:rPr>
            <w:rStyle w:val="Hyperlink"/>
          </w:rPr>
          <w:t>https://www.theuvaldefoundation.com/projects-8</w:t>
        </w:r>
      </w:hyperlink>
    </w:p>
    <w:p w14:paraId="7B3E2154" w14:textId="77777777" w:rsidR="00F34BEC" w:rsidRDefault="00F34BEC">
      <w:pPr>
        <w:pStyle w:val="Heading2"/>
        <w:rPr>
          <w:rFonts w:eastAsia="Times New Roman"/>
        </w:rPr>
      </w:pPr>
      <w:r>
        <w:rPr>
          <w:rFonts w:eastAsia="Times New Roman"/>
        </w:rPr>
        <w:t>Community Crisis Response</w:t>
      </w:r>
    </w:p>
    <w:p w14:paraId="199183C3" w14:textId="77777777" w:rsidR="00F34BEC" w:rsidRDefault="00F34BEC">
      <w:pPr>
        <w:pStyle w:val="NormalWeb"/>
      </w:pPr>
      <w:r>
        <w:t>Community Crisis Response focuses on helping affected families and communities identify immediate needs and connect with available resources following violence or other serious crises.</w:t>
      </w:r>
    </w:p>
    <w:p w14:paraId="7E789299" w14:textId="77777777" w:rsidR="00F34BEC" w:rsidRDefault="00F34BEC">
      <w:pPr>
        <w:pStyle w:val="NormalWeb"/>
      </w:pPr>
      <w:r>
        <w:t>Depending on circumstances and available resources, the work may include outreach, family coordination, crisis support, referrals, school-related support, emergency assistance, and follow-up.</w:t>
      </w:r>
    </w:p>
    <w:p w14:paraId="729CF1B6" w14:textId="77777777" w:rsidR="00F34BEC" w:rsidRDefault="00F34BEC">
      <w:pPr>
        <w:pStyle w:val="NormalWeb"/>
      </w:pPr>
      <w:r>
        <w:t>The Foundation’s response activities are intended to complement—not replace—emergency services, law enforcement, school professionals, licensed clinicians, and other qualified providers.</w:t>
      </w:r>
    </w:p>
    <w:p w14:paraId="09F1D62C" w14:textId="77777777" w:rsidR="00F34BEC" w:rsidRDefault="00F34BEC">
      <w:pPr>
        <w:pStyle w:val="Heading2"/>
        <w:rPr>
          <w:rFonts w:eastAsia="Times New Roman"/>
        </w:rPr>
      </w:pPr>
      <w:r>
        <w:rPr>
          <w:rFonts w:eastAsia="Times New Roman"/>
        </w:rPr>
        <w:t>Bullying Prevention and Youth Safety</w:t>
      </w:r>
    </w:p>
    <w:p w14:paraId="1DB1FDA0" w14:textId="77777777" w:rsidR="00F34BEC" w:rsidRDefault="00F34BEC">
      <w:pPr>
        <w:pStyle w:val="NormalWeb"/>
      </w:pPr>
      <w:r>
        <w:t>The Foundation continues to support bullying prevention, youth advocacy, early intervention, and safer school and community environments.</w:t>
      </w:r>
    </w:p>
    <w:p w14:paraId="505B99F9" w14:textId="77777777" w:rsidR="00F34BEC" w:rsidRDefault="00F34BEC">
      <w:pPr>
        <w:pStyle w:val="NormalWeb"/>
      </w:pPr>
      <w:r>
        <w:t>Its approach emphasizes the importance of recognizing warning signs, addressing harmful behavior, supporting young people, and connecting individuals with appropriate resources.</w:t>
      </w:r>
    </w:p>
    <w:p w14:paraId="652EBDCC" w14:textId="77777777" w:rsidR="00F34BEC" w:rsidRDefault="00F34BEC">
      <w:pPr>
        <w:pStyle w:val="NormalWeb"/>
      </w:pPr>
      <w:r>
        <w:t>The Foundation also maintains a restricted Bullying Prevention fund. Contributions designated for this purpose must remain separate from unrestricted operating funds.</w:t>
      </w:r>
    </w:p>
    <w:p w14:paraId="4D341ADE" w14:textId="77777777" w:rsidR="00F34BEC" w:rsidRDefault="00F34BEC">
      <w:pPr>
        <w:pStyle w:val="Heading2"/>
        <w:rPr>
          <w:rFonts w:eastAsia="Times New Roman"/>
        </w:rPr>
      </w:pPr>
      <w:proofErr w:type="spellStart"/>
      <w:r>
        <w:rPr>
          <w:rFonts w:eastAsia="Times New Roman"/>
        </w:rPr>
        <w:t>AnchorPoint</w:t>
      </w:r>
      <w:proofErr w:type="spellEnd"/>
      <w:r>
        <w:rPr>
          <w:rFonts w:eastAsia="Times New Roman"/>
        </w:rPr>
        <w:t xml:space="preserve"> Safe Houses</w:t>
      </w:r>
    </w:p>
    <w:p w14:paraId="62F795BB" w14:textId="77777777" w:rsidR="00F34BEC" w:rsidRDefault="00F34BEC">
      <w:pPr>
        <w:pStyle w:val="NormalWeb"/>
      </w:pPr>
      <w:r>
        <w:t xml:space="preserve">The </w:t>
      </w:r>
      <w:proofErr w:type="spellStart"/>
      <w:r>
        <w:t>AnchorPoint</w:t>
      </w:r>
      <w:proofErr w:type="spellEnd"/>
      <w:r>
        <w:t xml:space="preserve"> model was developed to support youth who may need temporary safety, emergency assistance, or connections to appropriate community services.</w:t>
      </w:r>
    </w:p>
    <w:p w14:paraId="4F381407" w14:textId="77777777" w:rsidR="00F34BEC" w:rsidRDefault="00F34BEC">
      <w:pPr>
        <w:pStyle w:val="NormalWeb"/>
      </w:pPr>
      <w:r>
        <w:t>The model relies on decentralized community capacity, professional and volunteer support, and coordination with available local resources.</w:t>
      </w:r>
    </w:p>
    <w:p w14:paraId="35653C5E" w14:textId="77777777" w:rsidR="00F34BEC" w:rsidRDefault="00F34BEC">
      <w:pPr>
        <w:pStyle w:val="NormalWeb"/>
      </w:pPr>
      <w:r>
        <w:t>Its development reflects the Foundation’s broader effort to build practical support structures for young people experiencing crisis, housing instability, family violence, or other urgent circumstances.</w:t>
      </w:r>
    </w:p>
    <w:p w14:paraId="07C9A43D" w14:textId="77777777" w:rsidR="00F34BEC" w:rsidRDefault="00F34BEC">
      <w:pPr>
        <w:pStyle w:val="NormalWeb"/>
      </w:pPr>
      <w:r>
        <w:t>The model’s reach and availability depend on location, staffing, safety requirements, partner participation, and available resources.</w:t>
      </w:r>
    </w:p>
    <w:p w14:paraId="5DAE7394" w14:textId="77777777" w:rsidR="00F34BEC" w:rsidRDefault="00F34BEC">
      <w:pPr>
        <w:pStyle w:val="Heading2"/>
        <w:rPr>
          <w:rFonts w:eastAsia="Times New Roman"/>
        </w:rPr>
      </w:pPr>
      <w:r>
        <w:rPr>
          <w:rFonts w:eastAsia="Times New Roman"/>
        </w:rPr>
        <w:t>Trees for Peace and Memorial Initiatives</w:t>
      </w:r>
    </w:p>
    <w:p w14:paraId="0894D02F" w14:textId="77777777" w:rsidR="00F34BEC" w:rsidRDefault="00F34BEC">
      <w:pPr>
        <w:pStyle w:val="NormalWeb"/>
      </w:pPr>
      <w:r>
        <w:t>Trees for Peace and the Foundation’s broader memorial work recognize young people and communities affected by violence.</w:t>
      </w:r>
    </w:p>
    <w:p w14:paraId="50033F44" w14:textId="77777777" w:rsidR="00F34BEC" w:rsidRDefault="00F34BEC">
      <w:pPr>
        <w:pStyle w:val="NormalWeb"/>
      </w:pPr>
      <w:r>
        <w:t>These initiatives are intended to create lasting opportunities for remembrance and community reflection while reinforcing the need for prevention and youth safety.</w:t>
      </w:r>
    </w:p>
    <w:p w14:paraId="279EE347" w14:textId="77777777" w:rsidR="00F34BEC" w:rsidRDefault="00F34BEC">
      <w:pPr>
        <w:pStyle w:val="NormalWeb"/>
      </w:pPr>
      <w:r>
        <w:t>Memorial development includes coordination, planning, outreach, fundraising, and work with potential community partners. Proposed projects and fundraising goals must be distinguished from completed memorials and expenditures.</w:t>
      </w:r>
    </w:p>
    <w:p w14:paraId="1581F0E3" w14:textId="77777777" w:rsidR="00F34BEC" w:rsidRDefault="00F34BEC">
      <w:pPr>
        <w:pStyle w:val="Heading2"/>
        <w:rPr>
          <w:rFonts w:eastAsia="Times New Roman"/>
        </w:rPr>
      </w:pPr>
      <w:r>
        <w:rPr>
          <w:rFonts w:eastAsia="Times New Roman"/>
        </w:rPr>
        <w:t>Scholarships and Youth Recognition</w:t>
      </w:r>
    </w:p>
    <w:p w14:paraId="350302FE" w14:textId="77777777" w:rsidR="00F34BEC" w:rsidRDefault="00F34BEC">
      <w:pPr>
        <w:pStyle w:val="NormalWeb"/>
      </w:pPr>
      <w:r>
        <w:t>The Foundation’s scholarship and recognition initiatives seek to honor young people, support future opportunities, and recognize positive contributions to their communities.</w:t>
      </w:r>
    </w:p>
    <w:p w14:paraId="4F968B89" w14:textId="77777777" w:rsidR="00F34BEC" w:rsidRDefault="00F34BEC">
      <w:pPr>
        <w:pStyle w:val="NormalWeb"/>
      </w:pPr>
      <w:r>
        <w:t>Documented scholarship commitments in the Foundation’s 2026 monthly reporting include:</w:t>
      </w:r>
    </w:p>
    <w:p w14:paraId="5D73E8A0" w14:textId="77777777" w:rsidR="00F34BEC" w:rsidRDefault="00F34BEC">
      <w:pPr>
        <w:pStyle w:val="NormalWeb"/>
        <w:numPr>
          <w:ilvl w:val="0"/>
          <w:numId w:val="2"/>
        </w:numPr>
      </w:pPr>
      <w:r>
        <w:t>Emily Finn Scholarship Program: $24,000.</w:t>
      </w:r>
    </w:p>
    <w:p w14:paraId="42B02482" w14:textId="77777777" w:rsidR="00F34BEC" w:rsidRDefault="00F34BEC">
      <w:pPr>
        <w:pStyle w:val="NormalWeb"/>
        <w:numPr>
          <w:ilvl w:val="0"/>
          <w:numId w:val="2"/>
        </w:numPr>
      </w:pPr>
      <w:proofErr w:type="spellStart"/>
      <w:r>
        <w:t>Eia</w:t>
      </w:r>
      <w:proofErr w:type="spellEnd"/>
      <w:r>
        <w:t xml:space="preserve"> </w:t>
      </w:r>
      <w:proofErr w:type="spellStart"/>
      <w:r>
        <w:t>Schrider</w:t>
      </w:r>
      <w:proofErr w:type="spellEnd"/>
      <w:r>
        <w:t xml:space="preserve"> Scholarship: $500.</w:t>
      </w:r>
    </w:p>
    <w:p w14:paraId="7A7555A8" w14:textId="77777777" w:rsidR="00F34BEC" w:rsidRDefault="00F34BEC">
      <w:pPr>
        <w:pStyle w:val="NormalWeb"/>
        <w:numPr>
          <w:ilvl w:val="0"/>
          <w:numId w:val="2"/>
        </w:numPr>
      </w:pPr>
      <w:r>
        <w:t>Santino Gonzalez Future Barber Fund: continuing development.</w:t>
      </w:r>
    </w:p>
    <w:p w14:paraId="02640459" w14:textId="77777777" w:rsidR="00F34BEC" w:rsidRDefault="00F34BEC">
      <w:pPr>
        <w:pStyle w:val="NormalWeb"/>
      </w:pPr>
      <w:r>
        <w:t>The September 2026 report identified total scholarship commitments exceeding $24,500.</w:t>
      </w:r>
    </w:p>
    <w:p w14:paraId="5207769D" w14:textId="77777777" w:rsidR="00F34BEC" w:rsidRDefault="00F34BEC">
      <w:pPr>
        <w:pStyle w:val="NormalWeb"/>
      </w:pPr>
      <w:r>
        <w:t>These commitments are not equivalent to cash in the Foundation’s bank account. Scholarship funding, applications, approved awards, and actual distributions must be tracked separately.</w:t>
      </w:r>
    </w:p>
    <w:p w14:paraId="035E4C4B" w14:textId="77777777" w:rsidR="00F34BEC" w:rsidRDefault="00F34BEC">
      <w:pPr>
        <w:pStyle w:val="Heading2"/>
        <w:rPr>
          <w:rFonts w:eastAsia="Times New Roman"/>
        </w:rPr>
      </w:pPr>
      <w:r>
        <w:rPr>
          <w:rFonts w:eastAsia="Times New Roman"/>
        </w:rPr>
        <w:t>Youth Support and Community Assistance</w:t>
      </w:r>
    </w:p>
    <w:p w14:paraId="53A188E6" w14:textId="77777777" w:rsidR="00F34BEC" w:rsidRDefault="00F34BEC">
      <w:pPr>
        <w:pStyle w:val="NormalWeb"/>
      </w:pPr>
      <w:r>
        <w:t>The Foundation also undertakes youth-support and community initiatives involving practical assistance, outreach, volunteer coordination, and resource development.</w:t>
      </w:r>
    </w:p>
    <w:p w14:paraId="770DCD79" w14:textId="77777777" w:rsidR="00F34BEC" w:rsidRDefault="00F34BEC">
      <w:pPr>
        <w:pStyle w:val="NormalWeb"/>
      </w:pPr>
      <w:r>
        <w:t>Its Winnie the Pooh Meets Kindness initiative has included student backpack preparation and distribution. The August 2026 report documented preparation of approximately 100 student backpacks and referenced hundreds distributed through the broader initiative in Bell County.</w:t>
      </w:r>
    </w:p>
    <w:p w14:paraId="679086B4" w14:textId="77777777" w:rsidR="00F34BEC" w:rsidRDefault="00F34BEC">
      <w:pPr>
        <w:pStyle w:val="NormalWeb"/>
      </w:pPr>
      <w:r>
        <w:t>These efforts complement the Foundation’s crisis-response and prevention work by addressing practical needs affecting young people and families.</w:t>
      </w:r>
    </w:p>
    <w:p w14:paraId="2E8C88E0" w14:textId="77777777" w:rsidR="00F34BEC" w:rsidRDefault="00F34BEC">
      <w:pPr>
        <w:rPr>
          <w:rFonts w:eastAsia="Times New Roman"/>
        </w:rPr>
      </w:pPr>
      <w:r>
        <w:rPr>
          <w:rFonts w:eastAsia="Times New Roman"/>
          <w:noProof/>
        </w:rPr>
        <mc:AlternateContent>
          <mc:Choice Requires="wps">
            <w:drawing>
              <wp:inline distT="0" distB="0" distL="0" distR="0" wp14:anchorId="7DA8E8D4" wp14:editId="53F91A08">
                <wp:extent cx="5943600" cy="1270"/>
                <wp:effectExtent l="0" t="31750" r="0" b="36830"/>
                <wp:docPr id="160011613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714DC5B"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06BB8EA" w14:textId="77777777" w:rsidR="00F34BEC" w:rsidRDefault="00F34BEC">
      <w:pPr>
        <w:pStyle w:val="Heading1"/>
        <w:rPr>
          <w:rFonts w:eastAsia="Times New Roman"/>
        </w:rPr>
      </w:pPr>
      <w:r>
        <w:rPr>
          <w:rFonts w:eastAsia="Times New Roman"/>
        </w:rPr>
        <w:t>4. DOCUMENTED COMMUNITY RESPONSE AND MISSION ACTIVITY</w:t>
      </w:r>
    </w:p>
    <w:p w14:paraId="1FA1C40C" w14:textId="77777777" w:rsidR="00F34BEC" w:rsidRDefault="00F34BEC">
      <w:pPr>
        <w:pStyle w:val="NormalWeb"/>
      </w:pPr>
      <w:r>
        <w:t>The following examples summarize activity documented in the Foundation’s reports. They are not a complete count of every beneficiary served since 2022.</w:t>
      </w:r>
    </w:p>
    <w:p w14:paraId="1BEACE70" w14:textId="77777777" w:rsidR="00F34BEC" w:rsidRDefault="00F34BEC">
      <w:pPr>
        <w:pStyle w:val="Heading2"/>
        <w:rPr>
          <w:rFonts w:eastAsia="Times New Roman"/>
        </w:rPr>
      </w:pPr>
      <w:r>
        <w:rPr>
          <w:rFonts w:eastAsia="Times New Roman"/>
        </w:rPr>
        <w:t>Texas Flood Relief</w:t>
      </w:r>
    </w:p>
    <w:p w14:paraId="19FE5C82" w14:textId="77777777" w:rsidR="00F34BEC" w:rsidRDefault="00F34BEC">
      <w:pPr>
        <w:pStyle w:val="NormalWeb"/>
      </w:pPr>
      <w:r>
        <w:t>The Foundation reported a $6,000 restricted emergency relief grant that was distributed to assist 72 flood-affected families across Uvalde, Bexar, and Guadalupe Counties.</w:t>
      </w:r>
    </w:p>
    <w:p w14:paraId="4E2F9515" w14:textId="77777777" w:rsidR="00F34BEC" w:rsidRDefault="00F34BEC">
      <w:pPr>
        <w:pStyle w:val="NormalWeb"/>
      </w:pPr>
      <w:r>
        <w:t>The broader 2025 financial summary also reported $3,900 in direct financial assistance and $16,000 in in-kind disaster relief supplies during the regional flood crisis.</w:t>
      </w:r>
    </w:p>
    <w:p w14:paraId="127726C4" w14:textId="77777777" w:rsidR="00F34BEC" w:rsidRDefault="00F34BEC">
      <w:pPr>
        <w:pStyle w:val="NormalWeb"/>
      </w:pPr>
      <w:r>
        <w:t>These figures come from different reporting contexts and should not be added together without a transaction-level reconciliation to determine whether any amounts overlap.</w:t>
      </w:r>
    </w:p>
    <w:p w14:paraId="0016E268" w14:textId="77777777" w:rsidR="00F34BEC" w:rsidRDefault="00F34BEC">
      <w:pPr>
        <w:pStyle w:val="NormalWeb"/>
      </w:pPr>
      <w:r>
        <w:t>Restricted emergency-relief funding must be used for its designated charitable purpose rather than treated as unrestricted operating revenue.</w:t>
      </w:r>
    </w:p>
    <w:p w14:paraId="08F861E9" w14:textId="77777777" w:rsidR="00F34BEC" w:rsidRDefault="00F34BEC">
      <w:pPr>
        <w:pStyle w:val="Heading2"/>
        <w:rPr>
          <w:rFonts w:eastAsia="Times New Roman"/>
        </w:rPr>
      </w:pPr>
      <w:r>
        <w:rPr>
          <w:rFonts w:eastAsia="Times New Roman"/>
        </w:rPr>
        <w:t>Tulsa Family Response</w:t>
      </w:r>
    </w:p>
    <w:p w14:paraId="3BD0EEFA" w14:textId="77777777" w:rsidR="00F34BEC" w:rsidRDefault="00F34BEC">
      <w:pPr>
        <w:pStyle w:val="NormalWeb"/>
      </w:pPr>
      <w:r>
        <w:t>The August 2026 report documented a $100 Foundation contribution toward a Tulsa family response involving a 13-year-old homicide victim.</w:t>
      </w:r>
    </w:p>
    <w:p w14:paraId="596CD151" w14:textId="77777777" w:rsidR="00F34BEC" w:rsidRDefault="00F34BEC">
      <w:pPr>
        <w:pStyle w:val="NormalWeb"/>
      </w:pPr>
      <w:r>
        <w:t>The report also documented ten hours of pro bono mental-health services associated with the response, alongside fundraising coordination, family communication, and crisis-response support.</w:t>
      </w:r>
    </w:p>
    <w:p w14:paraId="3EA6F8A7" w14:textId="77777777" w:rsidR="00F34BEC" w:rsidRDefault="00F34BEC">
      <w:pPr>
        <w:pStyle w:val="NormalWeb"/>
      </w:pPr>
      <w:r>
        <w:t>The activity illustrates the combination of direct financial assistance and professional services that supports the Foundation’s model.</w:t>
      </w:r>
    </w:p>
    <w:p w14:paraId="269DEB8C" w14:textId="77777777" w:rsidR="00F34BEC" w:rsidRDefault="00F34BEC">
      <w:pPr>
        <w:pStyle w:val="Heading2"/>
        <w:rPr>
          <w:rFonts w:eastAsia="Times New Roman"/>
        </w:rPr>
      </w:pPr>
      <w:proofErr w:type="spellStart"/>
      <w:r>
        <w:rPr>
          <w:rFonts w:eastAsia="Times New Roman"/>
        </w:rPr>
        <w:t>O</w:t>
      </w:r>
      <w:r>
        <w:rPr>
          <w:rFonts w:ascii="Arial" w:eastAsia="Times New Roman" w:hAnsi="Arial" w:cs="Arial"/>
        </w:rPr>
        <w:t>ʻ</w:t>
      </w:r>
      <w:r>
        <w:rPr>
          <w:rFonts w:eastAsia="Times New Roman"/>
        </w:rPr>
        <w:t>ahu</w:t>
      </w:r>
      <w:proofErr w:type="spellEnd"/>
      <w:r>
        <w:rPr>
          <w:rFonts w:eastAsia="Times New Roman"/>
        </w:rPr>
        <w:t xml:space="preserve"> </w:t>
      </w:r>
      <w:proofErr w:type="spellStart"/>
      <w:r>
        <w:rPr>
          <w:rFonts w:eastAsia="Times New Roman"/>
        </w:rPr>
        <w:t>AnchorPoint</w:t>
      </w:r>
      <w:proofErr w:type="spellEnd"/>
      <w:r>
        <w:rPr>
          <w:rFonts w:eastAsia="Times New Roman"/>
        </w:rPr>
        <w:t xml:space="preserve"> Response</w:t>
      </w:r>
    </w:p>
    <w:p w14:paraId="13621B46" w14:textId="77777777" w:rsidR="00F34BEC" w:rsidRDefault="00F34BEC">
      <w:pPr>
        <w:pStyle w:val="NormalWeb"/>
      </w:pPr>
      <w:r>
        <w:t xml:space="preserve">The September 2026 report documented an </w:t>
      </w:r>
      <w:proofErr w:type="spellStart"/>
      <w:r>
        <w:t>AnchorPoint</w:t>
      </w:r>
      <w:proofErr w:type="spellEnd"/>
      <w:r>
        <w:t xml:space="preserve"> Safe House response following Hurricane </w:t>
      </w:r>
      <w:proofErr w:type="spellStart"/>
      <w:r>
        <w:t>Lala</w:t>
      </w:r>
      <w:proofErr w:type="spellEnd"/>
      <w:r>
        <w:t>, reporting:</w:t>
      </w:r>
    </w:p>
    <w:p w14:paraId="35BD15DC" w14:textId="77777777" w:rsidR="00F34BEC" w:rsidRDefault="00F34BEC">
      <w:pPr>
        <w:pStyle w:val="NormalWeb"/>
        <w:numPr>
          <w:ilvl w:val="0"/>
          <w:numId w:val="3"/>
        </w:numPr>
      </w:pPr>
      <w:r>
        <w:t>17 youth served.</w:t>
      </w:r>
    </w:p>
    <w:p w14:paraId="31FC7310" w14:textId="77777777" w:rsidR="00F34BEC" w:rsidRDefault="00F34BEC">
      <w:pPr>
        <w:pStyle w:val="NormalWeb"/>
        <w:numPr>
          <w:ilvl w:val="0"/>
          <w:numId w:val="3"/>
        </w:numPr>
      </w:pPr>
      <w:r>
        <w:t>13 families served.</w:t>
      </w:r>
    </w:p>
    <w:p w14:paraId="3CD6F3FF" w14:textId="77777777" w:rsidR="00F34BEC" w:rsidRDefault="00F34BEC">
      <w:pPr>
        <w:pStyle w:val="NormalWeb"/>
        <w:numPr>
          <w:ilvl w:val="0"/>
          <w:numId w:val="3"/>
        </w:numPr>
      </w:pPr>
      <w:r>
        <w:t>Temporary housing support and on-island referral coordination.</w:t>
      </w:r>
    </w:p>
    <w:p w14:paraId="1D5B468B" w14:textId="77777777" w:rsidR="00F34BEC" w:rsidRDefault="00F34BEC">
      <w:pPr>
        <w:pStyle w:val="NormalWeb"/>
      </w:pPr>
      <w:r>
        <w:t>These are reported figures for that response, not a cumulative count of all youth and families served by the Foundation since its founding.</w:t>
      </w:r>
    </w:p>
    <w:p w14:paraId="51AE1238" w14:textId="77777777" w:rsidR="00F34BEC" w:rsidRDefault="00F34BEC">
      <w:pPr>
        <w:pStyle w:val="Heading2"/>
        <w:rPr>
          <w:rFonts w:eastAsia="Times New Roman"/>
        </w:rPr>
      </w:pPr>
      <w:r>
        <w:rPr>
          <w:rFonts w:eastAsia="Times New Roman"/>
        </w:rPr>
        <w:t>Youth Support and Backpacks</w:t>
      </w:r>
    </w:p>
    <w:p w14:paraId="1DFDD260" w14:textId="77777777" w:rsidR="00F34BEC" w:rsidRDefault="00F34BEC">
      <w:pPr>
        <w:pStyle w:val="NormalWeb"/>
      </w:pPr>
      <w:r>
        <w:t>The Foundation’s August 2026 report documented preparation of approximately 100 student backpacks through its youth-support work.</w:t>
      </w:r>
    </w:p>
    <w:p w14:paraId="2D7C7329" w14:textId="77777777" w:rsidR="00F34BEC" w:rsidRDefault="00F34BEC">
      <w:pPr>
        <w:pStyle w:val="NormalWeb"/>
      </w:pPr>
      <w:r>
        <w:t>The broader initiative had previously distributed hundreds of backpacks throughout Bell County.</w:t>
      </w:r>
    </w:p>
    <w:p w14:paraId="1A5AADE9" w14:textId="77777777" w:rsidR="00F34BEC" w:rsidRDefault="00F34BEC">
      <w:pPr>
        <w:pStyle w:val="NormalWeb"/>
      </w:pPr>
      <w:r>
        <w:t>These activities provide practical assistance to young people and families while strengthening community engagement.</w:t>
      </w:r>
    </w:p>
    <w:p w14:paraId="23CE7819" w14:textId="77777777" w:rsidR="00F34BEC" w:rsidRDefault="00F34BEC">
      <w:pPr>
        <w:pStyle w:val="Heading2"/>
        <w:rPr>
          <w:rFonts w:eastAsia="Times New Roman"/>
        </w:rPr>
      </w:pPr>
      <w:r>
        <w:rPr>
          <w:rFonts w:eastAsia="Times New Roman"/>
        </w:rPr>
        <w:t>Bend, Oregon, Response</w:t>
      </w:r>
    </w:p>
    <w:p w14:paraId="42E21041" w14:textId="77777777" w:rsidR="00F34BEC" w:rsidRDefault="00F34BEC">
      <w:pPr>
        <w:pStyle w:val="NormalWeb"/>
      </w:pPr>
      <w:r>
        <w:t>Following the October 15, 2026, shooting at Silver Rail Elementary in Bend, Oregon, the Foundation reported mobilizing support, communicating with officials and school representatives, identifying resources, and undertaking crisis-support and fundraising work.</w:t>
      </w:r>
    </w:p>
    <w:p w14:paraId="759657CA" w14:textId="77777777" w:rsidR="00F34BEC" w:rsidRDefault="00F34BEC">
      <w:pPr>
        <w:pStyle w:val="NormalWeb"/>
      </w:pPr>
      <w:r>
        <w:t>The current Board update reports $16,232 raised and distributed to more than 36 families.</w:t>
      </w:r>
    </w:p>
    <w:p w14:paraId="23B2D9D8" w14:textId="77777777" w:rsidR="00F34BEC" w:rsidRDefault="00F34BEC">
      <w:pPr>
        <w:pStyle w:val="NormalWeb"/>
      </w:pPr>
      <w:r>
        <w:t>This figure should be read as a campaign-specific working total supported by the Foundation’s campaign records, not as general operating revenue or cash available for routine organizational expenses.</w:t>
      </w:r>
    </w:p>
    <w:p w14:paraId="1F5BF7E1" w14:textId="77777777" w:rsidR="00F34BEC" w:rsidRDefault="00F34BEC">
      <w:pPr>
        <w:pStyle w:val="NormalWeb"/>
      </w:pPr>
      <w:r>
        <w:t>The Bend response illustrates the Foundation’s continuing emphasis on crisis response, family assistance, coordination, and community support.</w:t>
      </w:r>
    </w:p>
    <w:p w14:paraId="2641465C" w14:textId="77777777" w:rsidR="00F34BEC" w:rsidRDefault="00F34BEC">
      <w:pPr>
        <w:pStyle w:val="Heading2"/>
        <w:rPr>
          <w:rFonts w:eastAsia="Times New Roman"/>
        </w:rPr>
      </w:pPr>
      <w:r>
        <w:rPr>
          <w:rFonts w:eastAsia="Times New Roman"/>
        </w:rPr>
        <w:t>Advocacy and Public Education</w:t>
      </w:r>
    </w:p>
    <w:p w14:paraId="3135062C" w14:textId="77777777" w:rsidR="00F34BEC" w:rsidRDefault="00F34BEC">
      <w:pPr>
        <w:pStyle w:val="NormalWeb"/>
      </w:pPr>
      <w:r>
        <w:t>The Foundation’s reported work includes public education, youth-safety advocacy, prevention frameworks, and submissions or communications concerning issues affecting children and communities.</w:t>
      </w:r>
    </w:p>
    <w:p w14:paraId="5A3A9C27" w14:textId="77777777" w:rsidR="00F34BEC" w:rsidRDefault="00F34BEC">
      <w:pPr>
        <w:pStyle w:val="NormalWeb"/>
      </w:pPr>
      <w:r>
        <w:t>Publications and initiatives documented in its 2026 monthly reports include:</w:t>
      </w:r>
    </w:p>
    <w:p w14:paraId="158559AA" w14:textId="77777777" w:rsidR="00F34BEC" w:rsidRDefault="00F34BEC">
      <w:pPr>
        <w:pStyle w:val="NormalWeb"/>
        <w:numPr>
          <w:ilvl w:val="0"/>
          <w:numId w:val="4"/>
        </w:numPr>
      </w:pPr>
      <w:r>
        <w:rPr>
          <w:rStyle w:val="Emphasis"/>
        </w:rPr>
        <w:t>Understanding the Limits of Technology in Preventing School Violence Beyond Gun Detection</w:t>
      </w:r>
      <w:r>
        <w:t>.</w:t>
      </w:r>
    </w:p>
    <w:p w14:paraId="37CD8BE6" w14:textId="77777777" w:rsidR="00F34BEC" w:rsidRDefault="00F34BEC">
      <w:pPr>
        <w:pStyle w:val="NormalWeb"/>
        <w:numPr>
          <w:ilvl w:val="0"/>
          <w:numId w:val="4"/>
        </w:numPr>
      </w:pPr>
      <w:r>
        <w:rPr>
          <w:rStyle w:val="Emphasis"/>
        </w:rPr>
        <w:t>Before the Threat</w:t>
      </w:r>
      <w:r>
        <w:t>.</w:t>
      </w:r>
    </w:p>
    <w:p w14:paraId="637CD8C9" w14:textId="77777777" w:rsidR="00F34BEC" w:rsidRDefault="00F34BEC">
      <w:pPr>
        <w:pStyle w:val="NormalWeb"/>
        <w:numPr>
          <w:ilvl w:val="0"/>
          <w:numId w:val="4"/>
        </w:numPr>
      </w:pPr>
      <w:r>
        <w:t>Stockton Gun Violence Intervention Blueprint.</w:t>
      </w:r>
    </w:p>
    <w:p w14:paraId="479575E1" w14:textId="77777777" w:rsidR="00F34BEC" w:rsidRDefault="00F34BEC">
      <w:pPr>
        <w:pStyle w:val="NormalWeb"/>
        <w:numPr>
          <w:ilvl w:val="0"/>
          <w:numId w:val="4"/>
        </w:numPr>
      </w:pPr>
      <w:r>
        <w:t>Safety Protocol 2026 Framework.</w:t>
      </w:r>
    </w:p>
    <w:p w14:paraId="4BD810EE" w14:textId="77777777" w:rsidR="00F34BEC" w:rsidRDefault="00F34BEC">
      <w:pPr>
        <w:pStyle w:val="NormalWeb"/>
        <w:numPr>
          <w:ilvl w:val="0"/>
          <w:numId w:val="4"/>
        </w:numPr>
      </w:pPr>
      <w:r>
        <w:t>Sovereign Shield Governance Framework.</w:t>
      </w:r>
    </w:p>
    <w:p w14:paraId="3B0E4C49" w14:textId="77777777" w:rsidR="00F34BEC" w:rsidRDefault="00F34BEC">
      <w:pPr>
        <w:pStyle w:val="NormalWeb"/>
        <w:numPr>
          <w:ilvl w:val="0"/>
          <w:numId w:val="4"/>
        </w:numPr>
      </w:pPr>
      <w:r>
        <w:t>Trees for Peace communications.</w:t>
      </w:r>
    </w:p>
    <w:p w14:paraId="2E914D7C" w14:textId="77777777" w:rsidR="00F34BEC" w:rsidRDefault="00F34BEC">
      <w:pPr>
        <w:pStyle w:val="NormalWeb"/>
        <w:numPr>
          <w:ilvl w:val="0"/>
          <w:numId w:val="4"/>
        </w:numPr>
      </w:pPr>
      <w:r>
        <w:t>Emergency relief announcements.</w:t>
      </w:r>
    </w:p>
    <w:p w14:paraId="17565408" w14:textId="77777777" w:rsidR="00F34BEC" w:rsidRDefault="00F34BEC">
      <w:pPr>
        <w:pStyle w:val="NormalWeb"/>
        <w:numPr>
          <w:ilvl w:val="0"/>
          <w:numId w:val="4"/>
        </w:numPr>
      </w:pPr>
      <w:r>
        <w:t>Youth violence-prevention publications.</w:t>
      </w:r>
    </w:p>
    <w:p w14:paraId="65E28368" w14:textId="77777777" w:rsidR="00F34BEC" w:rsidRDefault="00F34BEC">
      <w:pPr>
        <w:pStyle w:val="NormalWeb"/>
      </w:pPr>
      <w:r>
        <w:t>The status of each publication, filing, proposal, or initiative should be confirmed against its underlying records when included in a final annual count.</w:t>
      </w:r>
    </w:p>
    <w:p w14:paraId="3DD81814" w14:textId="77777777" w:rsidR="00F34BEC" w:rsidRDefault="00F34BEC">
      <w:pPr>
        <w:rPr>
          <w:rFonts w:eastAsia="Times New Roman"/>
        </w:rPr>
      </w:pPr>
      <w:r>
        <w:rPr>
          <w:rFonts w:eastAsia="Times New Roman"/>
          <w:noProof/>
        </w:rPr>
        <mc:AlternateContent>
          <mc:Choice Requires="wps">
            <w:drawing>
              <wp:inline distT="0" distB="0" distL="0" distR="0" wp14:anchorId="166878E7" wp14:editId="40F30125">
                <wp:extent cx="5943600" cy="1270"/>
                <wp:effectExtent l="0" t="31750" r="0" b="36830"/>
                <wp:docPr id="72936181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B058ECA"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620954D" w14:textId="77777777" w:rsidR="00F34BEC" w:rsidRDefault="00F34BEC">
      <w:pPr>
        <w:pStyle w:val="Heading1"/>
        <w:rPr>
          <w:rFonts w:eastAsia="Times New Roman"/>
        </w:rPr>
      </w:pPr>
      <w:r>
        <w:rPr>
          <w:rFonts w:eastAsia="Times New Roman"/>
        </w:rPr>
        <w:t>5. FINANCIAL HISTORY AND ACCOUNTABILITY</w:t>
      </w:r>
    </w:p>
    <w:p w14:paraId="4B0C833D" w14:textId="77777777" w:rsidR="00F34BEC" w:rsidRDefault="00F34BEC">
      <w:pPr>
        <w:pStyle w:val="Heading2"/>
        <w:rPr>
          <w:rFonts w:eastAsia="Times New Roman"/>
        </w:rPr>
      </w:pPr>
      <w:r>
        <w:rPr>
          <w:rFonts w:eastAsia="Times New Roman"/>
        </w:rPr>
        <w:t>Financial Reporting Approach</w:t>
      </w:r>
    </w:p>
    <w:p w14:paraId="3A1393F3" w14:textId="77777777" w:rsidR="00F34BEC" w:rsidRDefault="00F34BEC">
      <w:pPr>
        <w:pStyle w:val="NormalWeb"/>
      </w:pPr>
      <w:r>
        <w:t>The Foundation’s financial transparency page provides access to its IRS filing resources, monthly financial reports, incorporation records, conflict-of-interest policy, Texas and federal verification resources, and other organizational documents.</w:t>
      </w:r>
    </w:p>
    <w:p w14:paraId="1C1FB47C" w14:textId="77777777" w:rsidR="00F34BEC" w:rsidRDefault="00F34BEC">
      <w:pPr>
        <w:pStyle w:val="NormalWeb"/>
      </w:pPr>
      <w:r>
        <w:t>The page lists IRS Form 990 filings from 2022 onward and identifies monthly financial reports for December 2025 and January through July 2026, with additional months available upon request.</w:t>
      </w:r>
    </w:p>
    <w:p w14:paraId="075BBF69" w14:textId="77777777" w:rsidR="00F34BEC" w:rsidRDefault="00F34BEC">
      <w:pPr>
        <w:pStyle w:val="NormalWeb"/>
      </w:pPr>
      <w:r>
        <w:t>Financial records:</w:t>
      </w:r>
    </w:p>
    <w:p w14:paraId="65CAC1C2" w14:textId="77777777" w:rsidR="00F34BEC" w:rsidRDefault="00F34BEC">
      <w:pPr>
        <w:pStyle w:val="NormalWeb"/>
      </w:pPr>
      <w:hyperlink r:id="rId10" w:history="1">
        <w:r>
          <w:rPr>
            <w:rStyle w:val="Hyperlink"/>
          </w:rPr>
          <w:t>https://www.theuvaldefoundation.com/general-8</w:t>
        </w:r>
      </w:hyperlink>
    </w:p>
    <w:p w14:paraId="2E782C89" w14:textId="77777777" w:rsidR="00F34BEC" w:rsidRDefault="00F34BEC">
      <w:pPr>
        <w:pStyle w:val="NormalWeb"/>
      </w:pPr>
      <w:r>
        <w:t>The Foundation’s reporting approach distinguishes:</w:t>
      </w:r>
    </w:p>
    <w:p w14:paraId="53513D50" w14:textId="77777777" w:rsidR="00F34BEC" w:rsidRDefault="00F34BEC">
      <w:pPr>
        <w:pStyle w:val="NormalWeb"/>
        <w:numPr>
          <w:ilvl w:val="0"/>
          <w:numId w:val="5"/>
        </w:numPr>
      </w:pPr>
      <w:r>
        <w:t>Contributions and grants actually received.</w:t>
      </w:r>
    </w:p>
    <w:p w14:paraId="6EAA1315" w14:textId="77777777" w:rsidR="00F34BEC" w:rsidRDefault="00F34BEC">
      <w:pPr>
        <w:pStyle w:val="NormalWeb"/>
        <w:numPr>
          <w:ilvl w:val="0"/>
          <w:numId w:val="5"/>
        </w:numPr>
      </w:pPr>
      <w:r>
        <w:t>Unrestricted cash.</w:t>
      </w:r>
    </w:p>
    <w:p w14:paraId="0DAAF17C" w14:textId="77777777" w:rsidR="00F34BEC" w:rsidRDefault="00F34BEC">
      <w:pPr>
        <w:pStyle w:val="NormalWeb"/>
        <w:numPr>
          <w:ilvl w:val="0"/>
          <w:numId w:val="5"/>
        </w:numPr>
      </w:pPr>
      <w:r>
        <w:t>Restricted cash.</w:t>
      </w:r>
    </w:p>
    <w:p w14:paraId="71FEE841" w14:textId="77777777" w:rsidR="00F34BEC" w:rsidRDefault="00F34BEC">
      <w:pPr>
        <w:pStyle w:val="NormalWeb"/>
        <w:numPr>
          <w:ilvl w:val="0"/>
          <w:numId w:val="5"/>
        </w:numPr>
      </w:pPr>
      <w:r>
        <w:t>Expenses incurred and the source of payment.</w:t>
      </w:r>
    </w:p>
    <w:p w14:paraId="5B20E705" w14:textId="77777777" w:rsidR="00F34BEC" w:rsidRDefault="00F34BEC">
      <w:pPr>
        <w:pStyle w:val="NormalWeb"/>
        <w:numPr>
          <w:ilvl w:val="0"/>
          <w:numId w:val="5"/>
        </w:numPr>
      </w:pPr>
      <w:r>
        <w:t>Direct program assistance.</w:t>
      </w:r>
    </w:p>
    <w:p w14:paraId="184B89C1" w14:textId="77777777" w:rsidR="00F34BEC" w:rsidRDefault="00F34BEC">
      <w:pPr>
        <w:pStyle w:val="NormalWeb"/>
        <w:numPr>
          <w:ilvl w:val="0"/>
          <w:numId w:val="5"/>
        </w:numPr>
      </w:pPr>
      <w:r>
        <w:t>Professional and volunteer services.</w:t>
      </w:r>
    </w:p>
    <w:p w14:paraId="24F069E9" w14:textId="77777777" w:rsidR="00F34BEC" w:rsidRDefault="00F34BEC">
      <w:pPr>
        <w:pStyle w:val="NormalWeb"/>
        <w:numPr>
          <w:ilvl w:val="0"/>
          <w:numId w:val="5"/>
        </w:numPr>
      </w:pPr>
      <w:r>
        <w:t>Scholarship commitments.</w:t>
      </w:r>
    </w:p>
    <w:p w14:paraId="361BDD59" w14:textId="77777777" w:rsidR="00F34BEC" w:rsidRDefault="00F34BEC">
      <w:pPr>
        <w:pStyle w:val="NormalWeb"/>
        <w:numPr>
          <w:ilvl w:val="0"/>
          <w:numId w:val="5"/>
        </w:numPr>
      </w:pPr>
      <w:r>
        <w:t>Campaign-specific fundraising and distributions.</w:t>
      </w:r>
    </w:p>
    <w:p w14:paraId="660760AB" w14:textId="77777777" w:rsidR="00F34BEC" w:rsidRDefault="00F34BEC">
      <w:pPr>
        <w:pStyle w:val="NormalWeb"/>
        <w:numPr>
          <w:ilvl w:val="0"/>
          <w:numId w:val="5"/>
        </w:numPr>
      </w:pPr>
      <w:r>
        <w:t xml:space="preserve">Anticipated but </w:t>
      </w:r>
      <w:proofErr w:type="spellStart"/>
      <w:r>
        <w:t>unreceived</w:t>
      </w:r>
      <w:proofErr w:type="spellEnd"/>
      <w:r>
        <w:t xml:space="preserve"> funding.</w:t>
      </w:r>
    </w:p>
    <w:p w14:paraId="441468F2" w14:textId="77777777" w:rsidR="00F34BEC" w:rsidRDefault="00F34BEC">
      <w:pPr>
        <w:pStyle w:val="NormalWeb"/>
      </w:pPr>
      <w:r>
        <w:t>This distinction is essential because cash balances, donated services, fundraising totals, and estimated mission impact are not interchangeable financial measures.</w:t>
      </w:r>
    </w:p>
    <w:p w14:paraId="5E0AEA2C" w14:textId="77777777" w:rsidR="00F34BEC" w:rsidRDefault="00F34BEC">
      <w:pPr>
        <w:pStyle w:val="Heading2"/>
        <w:rPr>
          <w:rFonts w:eastAsia="Times New Roman"/>
        </w:rPr>
      </w:pPr>
      <w:r>
        <w:rPr>
          <w:rFonts w:eastAsia="Times New Roman"/>
        </w:rPr>
        <w:t>2025 Fiscal-Year Financial Summary</w:t>
      </w:r>
    </w:p>
    <w:p w14:paraId="63C68727" w14:textId="77777777" w:rsidR="00F34BEC" w:rsidRDefault="00F34BEC">
      <w:pPr>
        <w:pStyle w:val="NormalWeb"/>
      </w:pPr>
      <w:r>
        <w:t>The Foundation’s published financial summary for the fiscal year ending November 30, 2025, reports: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92"/>
        <w:gridCol w:w="1980"/>
      </w:tblGrid>
      <w:tr w:rsidR="00F34BEC" w14:paraId="015C2B0A" w14:textId="77777777">
        <w:trPr>
          <w:tblHeader/>
          <w:tblCellSpacing w:w="15" w:type="dxa"/>
        </w:trPr>
        <w:tc>
          <w:tcPr>
            <w:tcW w:w="0" w:type="auto"/>
            <w:vAlign w:val="center"/>
            <w:hideMark/>
          </w:tcPr>
          <w:p w14:paraId="523BD5F5" w14:textId="77777777" w:rsidR="00F34BEC" w:rsidRDefault="00F34BEC">
            <w:pPr>
              <w:jc w:val="center"/>
              <w:rPr>
                <w:rFonts w:eastAsia="Times New Roman"/>
                <w:b/>
                <w:bCs/>
              </w:rPr>
            </w:pPr>
            <w:r>
              <w:rPr>
                <w:rFonts w:eastAsia="Times New Roman"/>
                <w:b/>
                <w:bCs/>
              </w:rPr>
              <w:t>Financial measure</w:t>
            </w:r>
          </w:p>
        </w:tc>
        <w:tc>
          <w:tcPr>
            <w:tcW w:w="0" w:type="auto"/>
            <w:vAlign w:val="center"/>
            <w:hideMark/>
          </w:tcPr>
          <w:p w14:paraId="5C8BFC55" w14:textId="77777777" w:rsidR="00F34BEC" w:rsidRDefault="00F34BEC">
            <w:pPr>
              <w:jc w:val="right"/>
              <w:rPr>
                <w:rFonts w:eastAsia="Times New Roman"/>
                <w:b/>
                <w:bCs/>
              </w:rPr>
            </w:pPr>
            <w:r>
              <w:rPr>
                <w:rFonts w:eastAsia="Times New Roman"/>
                <w:b/>
                <w:bCs/>
              </w:rPr>
              <w:t>Reported amount</w:t>
            </w:r>
          </w:p>
        </w:tc>
      </w:tr>
      <w:tr w:rsidR="00F34BEC" w14:paraId="03D87B2B" w14:textId="77777777">
        <w:trPr>
          <w:tblCellSpacing w:w="15" w:type="dxa"/>
        </w:trPr>
        <w:tc>
          <w:tcPr>
            <w:tcW w:w="0" w:type="auto"/>
            <w:vAlign w:val="center"/>
            <w:hideMark/>
          </w:tcPr>
          <w:p w14:paraId="47EBD029" w14:textId="77777777" w:rsidR="00F34BEC" w:rsidRDefault="00F34BEC">
            <w:pPr>
              <w:rPr>
                <w:rFonts w:eastAsia="Times New Roman"/>
              </w:rPr>
            </w:pPr>
            <w:r>
              <w:rPr>
                <w:rFonts w:eastAsia="Times New Roman"/>
              </w:rPr>
              <w:t>Contributions and grants</w:t>
            </w:r>
          </w:p>
        </w:tc>
        <w:tc>
          <w:tcPr>
            <w:tcW w:w="0" w:type="auto"/>
            <w:vAlign w:val="center"/>
            <w:hideMark/>
          </w:tcPr>
          <w:p w14:paraId="3C9D9135" w14:textId="77777777" w:rsidR="00F34BEC" w:rsidRDefault="00F34BEC">
            <w:pPr>
              <w:jc w:val="right"/>
              <w:rPr>
                <w:rFonts w:eastAsia="Times New Roman"/>
              </w:rPr>
            </w:pPr>
            <w:r>
              <w:rPr>
                <w:rFonts w:eastAsia="Times New Roman"/>
              </w:rPr>
              <w:t>$49,963.23</w:t>
            </w:r>
          </w:p>
        </w:tc>
      </w:tr>
      <w:tr w:rsidR="00F34BEC" w14:paraId="2A3B2C62" w14:textId="77777777">
        <w:trPr>
          <w:tblCellSpacing w:w="15" w:type="dxa"/>
        </w:trPr>
        <w:tc>
          <w:tcPr>
            <w:tcW w:w="0" w:type="auto"/>
            <w:vAlign w:val="center"/>
            <w:hideMark/>
          </w:tcPr>
          <w:p w14:paraId="22F9DD17" w14:textId="77777777" w:rsidR="00F34BEC" w:rsidRDefault="00F34BEC">
            <w:pPr>
              <w:rPr>
                <w:rFonts w:eastAsia="Times New Roman"/>
              </w:rPr>
            </w:pPr>
            <w:r>
              <w:rPr>
                <w:rFonts w:eastAsia="Times New Roman"/>
              </w:rPr>
              <w:t>Expenses</w:t>
            </w:r>
          </w:p>
        </w:tc>
        <w:tc>
          <w:tcPr>
            <w:tcW w:w="0" w:type="auto"/>
            <w:vAlign w:val="center"/>
            <w:hideMark/>
          </w:tcPr>
          <w:p w14:paraId="66A3853C" w14:textId="77777777" w:rsidR="00F34BEC" w:rsidRDefault="00F34BEC">
            <w:pPr>
              <w:jc w:val="right"/>
              <w:rPr>
                <w:rFonts w:eastAsia="Times New Roman"/>
              </w:rPr>
            </w:pPr>
            <w:r>
              <w:rPr>
                <w:rFonts w:eastAsia="Times New Roman"/>
              </w:rPr>
              <w:t>$51,019.83</w:t>
            </w:r>
          </w:p>
        </w:tc>
      </w:tr>
      <w:tr w:rsidR="00F34BEC" w14:paraId="285508EC" w14:textId="77777777">
        <w:trPr>
          <w:tblCellSpacing w:w="15" w:type="dxa"/>
        </w:trPr>
        <w:tc>
          <w:tcPr>
            <w:tcW w:w="0" w:type="auto"/>
            <w:vAlign w:val="center"/>
            <w:hideMark/>
          </w:tcPr>
          <w:p w14:paraId="3B22806C" w14:textId="77777777" w:rsidR="00F34BEC" w:rsidRDefault="00F34BEC">
            <w:pPr>
              <w:rPr>
                <w:rFonts w:eastAsia="Times New Roman"/>
              </w:rPr>
            </w:pPr>
            <w:r>
              <w:rPr>
                <w:rFonts w:eastAsia="Times New Roman"/>
              </w:rPr>
              <w:t>Annual deficit</w:t>
            </w:r>
          </w:p>
        </w:tc>
        <w:tc>
          <w:tcPr>
            <w:tcW w:w="0" w:type="auto"/>
            <w:vAlign w:val="center"/>
            <w:hideMark/>
          </w:tcPr>
          <w:p w14:paraId="35A57A63" w14:textId="77777777" w:rsidR="00F34BEC" w:rsidRDefault="00F34BEC">
            <w:pPr>
              <w:jc w:val="right"/>
              <w:rPr>
                <w:rFonts w:eastAsia="Times New Roman"/>
              </w:rPr>
            </w:pPr>
            <w:r>
              <w:rPr>
                <w:rFonts w:eastAsia="Times New Roman"/>
              </w:rPr>
              <w:t>($1,056.60)</w:t>
            </w:r>
          </w:p>
        </w:tc>
      </w:tr>
      <w:tr w:rsidR="00F34BEC" w14:paraId="675AF7E2" w14:textId="77777777">
        <w:trPr>
          <w:tblCellSpacing w:w="15" w:type="dxa"/>
        </w:trPr>
        <w:tc>
          <w:tcPr>
            <w:tcW w:w="0" w:type="auto"/>
            <w:vAlign w:val="center"/>
            <w:hideMark/>
          </w:tcPr>
          <w:p w14:paraId="61442138" w14:textId="77777777" w:rsidR="00F34BEC" w:rsidRDefault="00F34BEC">
            <w:pPr>
              <w:rPr>
                <w:rFonts w:eastAsia="Times New Roman"/>
              </w:rPr>
            </w:pPr>
            <w:r>
              <w:rPr>
                <w:rFonts w:eastAsia="Times New Roman"/>
              </w:rPr>
              <w:t>Ending cash/assets figure reported in the summary</w:t>
            </w:r>
          </w:p>
        </w:tc>
        <w:tc>
          <w:tcPr>
            <w:tcW w:w="0" w:type="auto"/>
            <w:vAlign w:val="center"/>
            <w:hideMark/>
          </w:tcPr>
          <w:p w14:paraId="0DBB593B" w14:textId="77777777" w:rsidR="00F34BEC" w:rsidRDefault="00F34BEC">
            <w:pPr>
              <w:jc w:val="right"/>
              <w:rPr>
                <w:rFonts w:eastAsia="Times New Roman"/>
              </w:rPr>
            </w:pPr>
            <w:r>
              <w:rPr>
                <w:rFonts w:eastAsia="Times New Roman"/>
              </w:rPr>
              <w:t>$13,943.40</w:t>
            </w:r>
          </w:p>
        </w:tc>
      </w:tr>
      <w:tr w:rsidR="00F34BEC" w14:paraId="7250E409" w14:textId="77777777">
        <w:trPr>
          <w:tblCellSpacing w:w="15" w:type="dxa"/>
        </w:trPr>
        <w:tc>
          <w:tcPr>
            <w:tcW w:w="0" w:type="auto"/>
            <w:vAlign w:val="center"/>
            <w:hideMark/>
          </w:tcPr>
          <w:p w14:paraId="27E495EF" w14:textId="77777777" w:rsidR="00F34BEC" w:rsidRDefault="00F34BEC">
            <w:pPr>
              <w:rPr>
                <w:rFonts w:eastAsia="Times New Roman"/>
              </w:rPr>
            </w:pPr>
            <w:r>
              <w:rPr>
                <w:rFonts w:eastAsia="Times New Roman"/>
              </w:rPr>
              <w:t>Liabilities</w:t>
            </w:r>
          </w:p>
        </w:tc>
        <w:tc>
          <w:tcPr>
            <w:tcW w:w="0" w:type="auto"/>
            <w:vAlign w:val="center"/>
            <w:hideMark/>
          </w:tcPr>
          <w:p w14:paraId="0758BCD5" w14:textId="77777777" w:rsidR="00F34BEC" w:rsidRDefault="00F34BEC">
            <w:pPr>
              <w:jc w:val="right"/>
              <w:rPr>
                <w:rFonts w:eastAsia="Times New Roman"/>
              </w:rPr>
            </w:pPr>
            <w:r>
              <w:rPr>
                <w:rFonts w:eastAsia="Times New Roman"/>
              </w:rPr>
              <w:t>$0.00</w:t>
            </w:r>
          </w:p>
        </w:tc>
      </w:tr>
      <w:tr w:rsidR="00F34BEC" w14:paraId="73A0474B" w14:textId="77777777">
        <w:trPr>
          <w:tblCellSpacing w:w="15" w:type="dxa"/>
        </w:trPr>
        <w:tc>
          <w:tcPr>
            <w:tcW w:w="0" w:type="auto"/>
            <w:vAlign w:val="center"/>
            <w:hideMark/>
          </w:tcPr>
          <w:p w14:paraId="24491100" w14:textId="77777777" w:rsidR="00F34BEC" w:rsidRDefault="00F34BEC">
            <w:pPr>
              <w:rPr>
                <w:rFonts w:eastAsia="Times New Roman"/>
              </w:rPr>
            </w:pPr>
            <w:r>
              <w:rPr>
                <w:rFonts w:eastAsia="Times New Roman"/>
              </w:rPr>
              <w:t>Program service ratio</w:t>
            </w:r>
          </w:p>
        </w:tc>
        <w:tc>
          <w:tcPr>
            <w:tcW w:w="0" w:type="auto"/>
            <w:vAlign w:val="center"/>
            <w:hideMark/>
          </w:tcPr>
          <w:p w14:paraId="221DFDDA" w14:textId="77777777" w:rsidR="00F34BEC" w:rsidRDefault="00F34BEC">
            <w:pPr>
              <w:jc w:val="right"/>
              <w:rPr>
                <w:rFonts w:eastAsia="Times New Roman"/>
              </w:rPr>
            </w:pPr>
            <w:r>
              <w:rPr>
                <w:rFonts w:eastAsia="Times New Roman"/>
              </w:rPr>
              <w:t>76.95%</w:t>
            </w:r>
          </w:p>
        </w:tc>
      </w:tr>
    </w:tbl>
    <w:p w14:paraId="66DC03CD" w14:textId="77777777" w:rsidR="00F34BEC" w:rsidRDefault="00F34BEC">
      <w:pPr>
        <w:pStyle w:val="NormalWeb"/>
      </w:pPr>
      <w:r>
        <w:t>The reported deficit reflects expenses exceeding contributions and grants by $1,056.60. The published summary states that the difference was covered by drawing on reserves.</w:t>
      </w:r>
    </w:p>
    <w:p w14:paraId="218ABD8B" w14:textId="77777777" w:rsidR="00F34BEC" w:rsidRDefault="00F34BEC">
      <w:pPr>
        <w:pStyle w:val="NormalWeb"/>
      </w:pPr>
      <w:r>
        <w:t>The Foundation’s published program service ratio of 76.95% represents its reported annual financial measure for 2025. It should not be compared directly with monthly cash-only ratios without considering differences in reporting period and methodology.</w:t>
      </w:r>
    </w:p>
    <w:p w14:paraId="629650D1" w14:textId="77777777" w:rsidR="00F34BEC" w:rsidRDefault="00F34BEC">
      <w:pPr>
        <w:pStyle w:val="NormalWeb"/>
      </w:pPr>
      <w:r>
        <w:t>The Foundation identified increased fundraising and financial sustainability as priorities following that year.</w:t>
      </w:r>
    </w:p>
    <w:p w14:paraId="3BA73B2A" w14:textId="77777777" w:rsidR="00F34BEC" w:rsidRDefault="00F34BEC">
      <w:pPr>
        <w:pStyle w:val="Heading2"/>
        <w:rPr>
          <w:rFonts w:eastAsia="Times New Roman"/>
        </w:rPr>
      </w:pPr>
      <w:r>
        <w:rPr>
          <w:rFonts w:eastAsia="Times New Roman"/>
        </w:rPr>
        <w:t>August 2026 Financial Position</w:t>
      </w:r>
    </w:p>
    <w:p w14:paraId="1995A0EA" w14:textId="77777777" w:rsidR="00F34BEC" w:rsidRDefault="00F34BEC">
      <w:pPr>
        <w:pStyle w:val="NormalWeb"/>
      </w:pPr>
      <w:r>
        <w:t>The August 2026 final reconciled report recorded: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2"/>
        <w:gridCol w:w="1395"/>
      </w:tblGrid>
      <w:tr w:rsidR="00F34BEC" w14:paraId="22613AC3" w14:textId="77777777">
        <w:trPr>
          <w:tblHeader/>
          <w:tblCellSpacing w:w="15" w:type="dxa"/>
        </w:trPr>
        <w:tc>
          <w:tcPr>
            <w:tcW w:w="0" w:type="auto"/>
            <w:vAlign w:val="center"/>
            <w:hideMark/>
          </w:tcPr>
          <w:p w14:paraId="1C4ADEA4" w14:textId="77777777" w:rsidR="00F34BEC" w:rsidRDefault="00F34BEC">
            <w:pPr>
              <w:jc w:val="center"/>
              <w:rPr>
                <w:rFonts w:eastAsia="Times New Roman"/>
                <w:b/>
                <w:bCs/>
              </w:rPr>
            </w:pPr>
            <w:r>
              <w:rPr>
                <w:rFonts w:eastAsia="Times New Roman"/>
                <w:b/>
                <w:bCs/>
              </w:rPr>
              <w:t>Measure</w:t>
            </w:r>
          </w:p>
        </w:tc>
        <w:tc>
          <w:tcPr>
            <w:tcW w:w="0" w:type="auto"/>
            <w:vAlign w:val="center"/>
            <w:hideMark/>
          </w:tcPr>
          <w:p w14:paraId="7F4C04CD" w14:textId="77777777" w:rsidR="00F34BEC" w:rsidRDefault="00F34BEC">
            <w:pPr>
              <w:jc w:val="right"/>
              <w:rPr>
                <w:rFonts w:eastAsia="Times New Roman"/>
                <w:b/>
                <w:bCs/>
              </w:rPr>
            </w:pPr>
            <w:r>
              <w:rPr>
                <w:rFonts w:eastAsia="Times New Roman"/>
                <w:b/>
                <w:bCs/>
              </w:rPr>
              <w:t>August 2026</w:t>
            </w:r>
          </w:p>
        </w:tc>
      </w:tr>
      <w:tr w:rsidR="00F34BEC" w14:paraId="35E292FE" w14:textId="77777777">
        <w:trPr>
          <w:tblCellSpacing w:w="15" w:type="dxa"/>
        </w:trPr>
        <w:tc>
          <w:tcPr>
            <w:tcW w:w="0" w:type="auto"/>
            <w:vAlign w:val="center"/>
            <w:hideMark/>
          </w:tcPr>
          <w:p w14:paraId="07182249" w14:textId="77777777" w:rsidR="00F34BEC" w:rsidRDefault="00F34BEC">
            <w:pPr>
              <w:rPr>
                <w:rFonts w:eastAsia="Times New Roman"/>
              </w:rPr>
            </w:pPr>
            <w:r>
              <w:rPr>
                <w:rFonts w:eastAsia="Times New Roman"/>
              </w:rPr>
              <w:t>Opening total cash</w:t>
            </w:r>
          </w:p>
        </w:tc>
        <w:tc>
          <w:tcPr>
            <w:tcW w:w="0" w:type="auto"/>
            <w:vAlign w:val="center"/>
            <w:hideMark/>
          </w:tcPr>
          <w:p w14:paraId="43E7FD05" w14:textId="77777777" w:rsidR="00F34BEC" w:rsidRDefault="00F34BEC">
            <w:pPr>
              <w:jc w:val="right"/>
              <w:rPr>
                <w:rFonts w:eastAsia="Times New Roman"/>
              </w:rPr>
            </w:pPr>
            <w:r>
              <w:rPr>
                <w:rFonts w:eastAsia="Times New Roman"/>
              </w:rPr>
              <w:t>$2,972.20</w:t>
            </w:r>
          </w:p>
        </w:tc>
      </w:tr>
      <w:tr w:rsidR="00F34BEC" w14:paraId="39215516" w14:textId="77777777">
        <w:trPr>
          <w:tblCellSpacing w:w="15" w:type="dxa"/>
        </w:trPr>
        <w:tc>
          <w:tcPr>
            <w:tcW w:w="0" w:type="auto"/>
            <w:vAlign w:val="center"/>
            <w:hideMark/>
          </w:tcPr>
          <w:p w14:paraId="502DDC82" w14:textId="77777777" w:rsidR="00F34BEC" w:rsidRDefault="00F34BEC">
            <w:pPr>
              <w:rPr>
                <w:rFonts w:eastAsia="Times New Roman"/>
              </w:rPr>
            </w:pPr>
            <w:r>
              <w:rPr>
                <w:rFonts w:eastAsia="Times New Roman"/>
              </w:rPr>
              <w:t>Revenue</w:t>
            </w:r>
          </w:p>
        </w:tc>
        <w:tc>
          <w:tcPr>
            <w:tcW w:w="0" w:type="auto"/>
            <w:vAlign w:val="center"/>
            <w:hideMark/>
          </w:tcPr>
          <w:p w14:paraId="0A7156F3" w14:textId="77777777" w:rsidR="00F34BEC" w:rsidRDefault="00F34BEC">
            <w:pPr>
              <w:jc w:val="right"/>
              <w:rPr>
                <w:rFonts w:eastAsia="Times New Roman"/>
              </w:rPr>
            </w:pPr>
            <w:r>
              <w:rPr>
                <w:rFonts w:eastAsia="Times New Roman"/>
              </w:rPr>
              <w:t>$355.00</w:t>
            </w:r>
          </w:p>
        </w:tc>
      </w:tr>
      <w:tr w:rsidR="00F34BEC" w14:paraId="0A0DEC54" w14:textId="77777777">
        <w:trPr>
          <w:tblCellSpacing w:w="15" w:type="dxa"/>
        </w:trPr>
        <w:tc>
          <w:tcPr>
            <w:tcW w:w="0" w:type="auto"/>
            <w:vAlign w:val="center"/>
            <w:hideMark/>
          </w:tcPr>
          <w:p w14:paraId="4EC9F84B" w14:textId="77777777" w:rsidR="00F34BEC" w:rsidRDefault="00F34BEC">
            <w:pPr>
              <w:rPr>
                <w:rFonts w:eastAsia="Times New Roman"/>
              </w:rPr>
            </w:pPr>
            <w:r>
              <w:rPr>
                <w:rFonts w:eastAsia="Times New Roman"/>
              </w:rPr>
              <w:t>Expenses</w:t>
            </w:r>
          </w:p>
        </w:tc>
        <w:tc>
          <w:tcPr>
            <w:tcW w:w="0" w:type="auto"/>
            <w:vAlign w:val="center"/>
            <w:hideMark/>
          </w:tcPr>
          <w:p w14:paraId="35474424" w14:textId="77777777" w:rsidR="00F34BEC" w:rsidRDefault="00F34BEC">
            <w:pPr>
              <w:jc w:val="right"/>
              <w:rPr>
                <w:rFonts w:eastAsia="Times New Roman"/>
              </w:rPr>
            </w:pPr>
            <w:r>
              <w:rPr>
                <w:rFonts w:eastAsia="Times New Roman"/>
              </w:rPr>
              <w:t>$1,492.67</w:t>
            </w:r>
          </w:p>
        </w:tc>
      </w:tr>
      <w:tr w:rsidR="00F34BEC" w14:paraId="07B0005A" w14:textId="77777777">
        <w:trPr>
          <w:tblCellSpacing w:w="15" w:type="dxa"/>
        </w:trPr>
        <w:tc>
          <w:tcPr>
            <w:tcW w:w="0" w:type="auto"/>
            <w:vAlign w:val="center"/>
            <w:hideMark/>
          </w:tcPr>
          <w:p w14:paraId="532FFE6C" w14:textId="77777777" w:rsidR="00F34BEC" w:rsidRDefault="00F34BEC">
            <w:pPr>
              <w:rPr>
                <w:rFonts w:eastAsia="Times New Roman"/>
              </w:rPr>
            </w:pPr>
            <w:r>
              <w:rPr>
                <w:rFonts w:eastAsia="Times New Roman"/>
              </w:rPr>
              <w:t>Net cash change</w:t>
            </w:r>
          </w:p>
        </w:tc>
        <w:tc>
          <w:tcPr>
            <w:tcW w:w="0" w:type="auto"/>
            <w:vAlign w:val="center"/>
            <w:hideMark/>
          </w:tcPr>
          <w:p w14:paraId="73406001" w14:textId="77777777" w:rsidR="00F34BEC" w:rsidRDefault="00F34BEC">
            <w:pPr>
              <w:jc w:val="right"/>
              <w:rPr>
                <w:rFonts w:eastAsia="Times New Roman"/>
              </w:rPr>
            </w:pPr>
            <w:r>
              <w:rPr>
                <w:rFonts w:eastAsia="Times New Roman"/>
              </w:rPr>
              <w:t>($1,137.67)</w:t>
            </w:r>
          </w:p>
        </w:tc>
      </w:tr>
      <w:tr w:rsidR="00F34BEC" w14:paraId="2583A39B" w14:textId="77777777">
        <w:trPr>
          <w:tblCellSpacing w:w="15" w:type="dxa"/>
        </w:trPr>
        <w:tc>
          <w:tcPr>
            <w:tcW w:w="0" w:type="auto"/>
            <w:vAlign w:val="center"/>
            <w:hideMark/>
          </w:tcPr>
          <w:p w14:paraId="060A2516" w14:textId="77777777" w:rsidR="00F34BEC" w:rsidRDefault="00F34BEC">
            <w:pPr>
              <w:rPr>
                <w:rFonts w:eastAsia="Times New Roman"/>
              </w:rPr>
            </w:pPr>
            <w:r>
              <w:rPr>
                <w:rFonts w:eastAsia="Times New Roman"/>
              </w:rPr>
              <w:t>Ending unrestricted cash</w:t>
            </w:r>
          </w:p>
        </w:tc>
        <w:tc>
          <w:tcPr>
            <w:tcW w:w="0" w:type="auto"/>
            <w:vAlign w:val="center"/>
            <w:hideMark/>
          </w:tcPr>
          <w:p w14:paraId="4E3D6CCC" w14:textId="77777777" w:rsidR="00F34BEC" w:rsidRDefault="00F34BEC">
            <w:pPr>
              <w:jc w:val="right"/>
              <w:rPr>
                <w:rFonts w:eastAsia="Times New Roman"/>
              </w:rPr>
            </w:pPr>
            <w:r>
              <w:rPr>
                <w:rFonts w:eastAsia="Times New Roman"/>
              </w:rPr>
              <w:t>$1,598.13</w:t>
            </w:r>
          </w:p>
        </w:tc>
      </w:tr>
      <w:tr w:rsidR="00F34BEC" w14:paraId="7EF42F95" w14:textId="77777777">
        <w:trPr>
          <w:tblCellSpacing w:w="15" w:type="dxa"/>
        </w:trPr>
        <w:tc>
          <w:tcPr>
            <w:tcW w:w="0" w:type="auto"/>
            <w:vAlign w:val="center"/>
            <w:hideMark/>
          </w:tcPr>
          <w:p w14:paraId="46282E73" w14:textId="77777777" w:rsidR="00F34BEC" w:rsidRDefault="00F34BEC">
            <w:pPr>
              <w:rPr>
                <w:rFonts w:eastAsia="Times New Roman"/>
              </w:rPr>
            </w:pPr>
            <w:r>
              <w:rPr>
                <w:rFonts w:eastAsia="Times New Roman"/>
              </w:rPr>
              <w:t>Ending restricted cash</w:t>
            </w:r>
          </w:p>
        </w:tc>
        <w:tc>
          <w:tcPr>
            <w:tcW w:w="0" w:type="auto"/>
            <w:vAlign w:val="center"/>
            <w:hideMark/>
          </w:tcPr>
          <w:p w14:paraId="0E8AD403" w14:textId="77777777" w:rsidR="00F34BEC" w:rsidRDefault="00F34BEC">
            <w:pPr>
              <w:jc w:val="right"/>
              <w:rPr>
                <w:rFonts w:eastAsia="Times New Roman"/>
              </w:rPr>
            </w:pPr>
            <w:r>
              <w:rPr>
                <w:rFonts w:eastAsia="Times New Roman"/>
              </w:rPr>
              <w:t>$236.40</w:t>
            </w:r>
          </w:p>
        </w:tc>
      </w:tr>
      <w:tr w:rsidR="00F34BEC" w14:paraId="50B235F6" w14:textId="77777777">
        <w:trPr>
          <w:tblCellSpacing w:w="15" w:type="dxa"/>
        </w:trPr>
        <w:tc>
          <w:tcPr>
            <w:tcW w:w="0" w:type="auto"/>
            <w:vAlign w:val="center"/>
            <w:hideMark/>
          </w:tcPr>
          <w:p w14:paraId="78D265AE" w14:textId="77777777" w:rsidR="00F34BEC" w:rsidRDefault="00F34BEC">
            <w:pPr>
              <w:rPr>
                <w:rFonts w:eastAsia="Times New Roman"/>
              </w:rPr>
            </w:pPr>
            <w:r>
              <w:rPr>
                <w:rStyle w:val="Strong"/>
                <w:rFonts w:eastAsia="Times New Roman"/>
              </w:rPr>
              <w:t>Ending total cash</w:t>
            </w:r>
          </w:p>
        </w:tc>
        <w:tc>
          <w:tcPr>
            <w:tcW w:w="0" w:type="auto"/>
            <w:vAlign w:val="center"/>
            <w:hideMark/>
          </w:tcPr>
          <w:p w14:paraId="3A93BC79" w14:textId="77777777" w:rsidR="00F34BEC" w:rsidRDefault="00F34BEC">
            <w:pPr>
              <w:jc w:val="right"/>
              <w:rPr>
                <w:rFonts w:eastAsia="Times New Roman"/>
              </w:rPr>
            </w:pPr>
            <w:r>
              <w:rPr>
                <w:rStyle w:val="Strong"/>
                <w:rFonts w:eastAsia="Times New Roman"/>
              </w:rPr>
              <w:t>$1,834.53</w:t>
            </w:r>
          </w:p>
        </w:tc>
      </w:tr>
      <w:tr w:rsidR="00F34BEC" w14:paraId="5DF17253" w14:textId="77777777">
        <w:trPr>
          <w:tblCellSpacing w:w="15" w:type="dxa"/>
        </w:trPr>
        <w:tc>
          <w:tcPr>
            <w:tcW w:w="0" w:type="auto"/>
            <w:vAlign w:val="center"/>
            <w:hideMark/>
          </w:tcPr>
          <w:p w14:paraId="5FCD0D8F" w14:textId="77777777" w:rsidR="00F34BEC" w:rsidRDefault="00F34BEC">
            <w:pPr>
              <w:rPr>
                <w:rFonts w:eastAsia="Times New Roman"/>
              </w:rPr>
            </w:pPr>
            <w:r>
              <w:rPr>
                <w:rFonts w:eastAsia="Times New Roman"/>
              </w:rPr>
              <w:t>Debt</w:t>
            </w:r>
          </w:p>
        </w:tc>
        <w:tc>
          <w:tcPr>
            <w:tcW w:w="0" w:type="auto"/>
            <w:vAlign w:val="center"/>
            <w:hideMark/>
          </w:tcPr>
          <w:p w14:paraId="588E1611" w14:textId="77777777" w:rsidR="00F34BEC" w:rsidRDefault="00F34BEC">
            <w:pPr>
              <w:jc w:val="right"/>
              <w:rPr>
                <w:rFonts w:eastAsia="Times New Roman"/>
              </w:rPr>
            </w:pPr>
            <w:r>
              <w:rPr>
                <w:rFonts w:eastAsia="Times New Roman"/>
              </w:rPr>
              <w:t>$0.00</w:t>
            </w:r>
          </w:p>
        </w:tc>
      </w:tr>
    </w:tbl>
    <w:p w14:paraId="12BBC66D" w14:textId="77777777" w:rsidR="00F34BEC" w:rsidRDefault="00F34BEC">
      <w:pPr>
        <w:pStyle w:val="NormalWeb"/>
      </w:pPr>
      <w:r>
        <w:t>August revenue comprised $190.00 in unrestricted revenue and $165.00 in restricted revenue.</w:t>
      </w:r>
    </w:p>
    <w:p w14:paraId="48B80922" w14:textId="77777777" w:rsidR="00F34BEC" w:rsidRDefault="00F34BEC">
      <w:pPr>
        <w:pStyle w:val="NormalWeb"/>
      </w:pPr>
      <w:r>
        <w:t>Recorded expenses included rent, the final storage payment, electric, website, Texas Secretary of State filing, registered-agent renewal, phone, Tulsa family assistance, and the Santino Gonzalez Memorial Tree.</w:t>
      </w:r>
    </w:p>
    <w:p w14:paraId="57432668" w14:textId="77777777" w:rsidR="00F34BEC" w:rsidRDefault="00F34BEC">
      <w:pPr>
        <w:pStyle w:val="NormalWeb"/>
      </w:pPr>
      <w:r>
        <w:t>The August report recorded $114.49 in direct program cash expenses and $1,378.18 in administrative and compliance expenses. It also included estimates of donated professional and volunteer services.</w:t>
      </w:r>
    </w:p>
    <w:p w14:paraId="46254171" w14:textId="77777777" w:rsidR="00F34BEC" w:rsidRDefault="00F34BEC">
      <w:pPr>
        <w:pStyle w:val="NormalWeb"/>
      </w:pPr>
      <w:r>
        <w:t>The cash-only functional expense ratio was 7.7% for program services and 92.3% for administrative and compliance expenses. The report explicitly noted that the cash-only percentage substantially understated mission delivery because the Foundation relies on professional services, volunteer labor, and community capacity.</w:t>
      </w:r>
    </w:p>
    <w:p w14:paraId="1E4C67D7" w14:textId="77777777" w:rsidR="00F34BEC" w:rsidRDefault="00F34BEC">
      <w:pPr>
        <w:pStyle w:val="NormalWeb"/>
      </w:pPr>
      <w:r>
        <w:t>The August report estimated an unrestricted runway of approximately two months. That estimate was based on the then-current cash position and expected recurring support and is not a current runway calculation.</w:t>
      </w:r>
    </w:p>
    <w:p w14:paraId="74386A22" w14:textId="77777777" w:rsidR="00F34BEC" w:rsidRDefault="00F34BEC">
      <w:pPr>
        <w:pStyle w:val="Heading2"/>
        <w:rPr>
          <w:rFonts w:eastAsia="Times New Roman"/>
        </w:rPr>
      </w:pPr>
      <w:r>
        <w:rPr>
          <w:rFonts w:eastAsia="Times New Roman"/>
        </w:rPr>
        <w:t>September 2026 Financial Position</w:t>
      </w:r>
    </w:p>
    <w:p w14:paraId="334CA20C" w14:textId="77777777" w:rsidR="00F34BEC" w:rsidRDefault="00F34BEC">
      <w:pPr>
        <w:pStyle w:val="NormalWeb"/>
      </w:pPr>
      <w:r>
        <w:t>The September 2026 final reconciled report recorded: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2"/>
        <w:gridCol w:w="1851"/>
      </w:tblGrid>
      <w:tr w:rsidR="00F34BEC" w14:paraId="728AEE8A" w14:textId="77777777">
        <w:trPr>
          <w:tblHeader/>
          <w:tblCellSpacing w:w="15" w:type="dxa"/>
        </w:trPr>
        <w:tc>
          <w:tcPr>
            <w:tcW w:w="0" w:type="auto"/>
            <w:vAlign w:val="center"/>
            <w:hideMark/>
          </w:tcPr>
          <w:p w14:paraId="1DF17E67" w14:textId="77777777" w:rsidR="00F34BEC" w:rsidRDefault="00F34BEC">
            <w:pPr>
              <w:jc w:val="center"/>
              <w:rPr>
                <w:rFonts w:eastAsia="Times New Roman"/>
                <w:b/>
                <w:bCs/>
              </w:rPr>
            </w:pPr>
            <w:r>
              <w:rPr>
                <w:rFonts w:eastAsia="Times New Roman"/>
                <w:b/>
                <w:bCs/>
              </w:rPr>
              <w:t>Measure</w:t>
            </w:r>
          </w:p>
        </w:tc>
        <w:tc>
          <w:tcPr>
            <w:tcW w:w="0" w:type="auto"/>
            <w:vAlign w:val="center"/>
            <w:hideMark/>
          </w:tcPr>
          <w:p w14:paraId="548AF94D" w14:textId="77777777" w:rsidR="00F34BEC" w:rsidRDefault="00F34BEC">
            <w:pPr>
              <w:jc w:val="right"/>
              <w:rPr>
                <w:rFonts w:eastAsia="Times New Roman"/>
                <w:b/>
                <w:bCs/>
              </w:rPr>
            </w:pPr>
            <w:r>
              <w:rPr>
                <w:rFonts w:eastAsia="Times New Roman"/>
                <w:b/>
                <w:bCs/>
              </w:rPr>
              <w:t>September 2026</w:t>
            </w:r>
          </w:p>
        </w:tc>
      </w:tr>
      <w:tr w:rsidR="00F34BEC" w14:paraId="3C28D277" w14:textId="77777777">
        <w:trPr>
          <w:tblCellSpacing w:w="15" w:type="dxa"/>
        </w:trPr>
        <w:tc>
          <w:tcPr>
            <w:tcW w:w="0" w:type="auto"/>
            <w:vAlign w:val="center"/>
            <w:hideMark/>
          </w:tcPr>
          <w:p w14:paraId="56EE0FBB" w14:textId="77777777" w:rsidR="00F34BEC" w:rsidRDefault="00F34BEC">
            <w:pPr>
              <w:rPr>
                <w:rFonts w:eastAsia="Times New Roman"/>
              </w:rPr>
            </w:pPr>
            <w:r>
              <w:rPr>
                <w:rFonts w:eastAsia="Times New Roman"/>
              </w:rPr>
              <w:t>Opening total cash</w:t>
            </w:r>
          </w:p>
        </w:tc>
        <w:tc>
          <w:tcPr>
            <w:tcW w:w="0" w:type="auto"/>
            <w:vAlign w:val="center"/>
            <w:hideMark/>
          </w:tcPr>
          <w:p w14:paraId="05DE4C7C" w14:textId="77777777" w:rsidR="00F34BEC" w:rsidRDefault="00F34BEC">
            <w:pPr>
              <w:jc w:val="right"/>
              <w:rPr>
                <w:rFonts w:eastAsia="Times New Roman"/>
              </w:rPr>
            </w:pPr>
            <w:r>
              <w:rPr>
                <w:rFonts w:eastAsia="Times New Roman"/>
              </w:rPr>
              <w:t>$1,834.53</w:t>
            </w:r>
          </w:p>
        </w:tc>
      </w:tr>
      <w:tr w:rsidR="00F34BEC" w14:paraId="7D1CE159" w14:textId="77777777">
        <w:trPr>
          <w:tblCellSpacing w:w="15" w:type="dxa"/>
        </w:trPr>
        <w:tc>
          <w:tcPr>
            <w:tcW w:w="0" w:type="auto"/>
            <w:vAlign w:val="center"/>
            <w:hideMark/>
          </w:tcPr>
          <w:p w14:paraId="051EF986" w14:textId="77777777" w:rsidR="00F34BEC" w:rsidRDefault="00F34BEC">
            <w:pPr>
              <w:rPr>
                <w:rFonts w:eastAsia="Times New Roman"/>
              </w:rPr>
            </w:pPr>
            <w:r>
              <w:rPr>
                <w:rFonts w:eastAsia="Times New Roman"/>
              </w:rPr>
              <w:t>Revenue</w:t>
            </w:r>
          </w:p>
        </w:tc>
        <w:tc>
          <w:tcPr>
            <w:tcW w:w="0" w:type="auto"/>
            <w:vAlign w:val="center"/>
            <w:hideMark/>
          </w:tcPr>
          <w:p w14:paraId="10573870" w14:textId="77777777" w:rsidR="00F34BEC" w:rsidRDefault="00F34BEC">
            <w:pPr>
              <w:jc w:val="right"/>
              <w:rPr>
                <w:rFonts w:eastAsia="Times New Roman"/>
              </w:rPr>
            </w:pPr>
            <w:r>
              <w:rPr>
                <w:rFonts w:eastAsia="Times New Roman"/>
              </w:rPr>
              <w:t>$215.00</w:t>
            </w:r>
          </w:p>
        </w:tc>
      </w:tr>
      <w:tr w:rsidR="00F34BEC" w14:paraId="6893541B" w14:textId="77777777">
        <w:trPr>
          <w:tblCellSpacing w:w="15" w:type="dxa"/>
        </w:trPr>
        <w:tc>
          <w:tcPr>
            <w:tcW w:w="0" w:type="auto"/>
            <w:vAlign w:val="center"/>
            <w:hideMark/>
          </w:tcPr>
          <w:p w14:paraId="57FE0A2B" w14:textId="77777777" w:rsidR="00F34BEC" w:rsidRDefault="00F34BEC">
            <w:pPr>
              <w:rPr>
                <w:rFonts w:eastAsia="Times New Roman"/>
              </w:rPr>
            </w:pPr>
            <w:r>
              <w:rPr>
                <w:rFonts w:eastAsia="Times New Roman"/>
              </w:rPr>
              <w:t>Expenses</w:t>
            </w:r>
          </w:p>
        </w:tc>
        <w:tc>
          <w:tcPr>
            <w:tcW w:w="0" w:type="auto"/>
            <w:vAlign w:val="center"/>
            <w:hideMark/>
          </w:tcPr>
          <w:p w14:paraId="47D8F09B" w14:textId="77777777" w:rsidR="00F34BEC" w:rsidRDefault="00F34BEC">
            <w:pPr>
              <w:jc w:val="right"/>
              <w:rPr>
                <w:rFonts w:eastAsia="Times New Roman"/>
              </w:rPr>
            </w:pPr>
            <w:r>
              <w:rPr>
                <w:rFonts w:eastAsia="Times New Roman"/>
              </w:rPr>
              <w:t>$1,987.75</w:t>
            </w:r>
          </w:p>
        </w:tc>
      </w:tr>
      <w:tr w:rsidR="00F34BEC" w14:paraId="201BFB89" w14:textId="77777777">
        <w:trPr>
          <w:tblCellSpacing w:w="15" w:type="dxa"/>
        </w:trPr>
        <w:tc>
          <w:tcPr>
            <w:tcW w:w="0" w:type="auto"/>
            <w:vAlign w:val="center"/>
            <w:hideMark/>
          </w:tcPr>
          <w:p w14:paraId="770E7BED" w14:textId="77777777" w:rsidR="00F34BEC" w:rsidRDefault="00F34BEC">
            <w:pPr>
              <w:rPr>
                <w:rFonts w:eastAsia="Times New Roman"/>
              </w:rPr>
            </w:pPr>
            <w:r>
              <w:rPr>
                <w:rFonts w:eastAsia="Times New Roman"/>
              </w:rPr>
              <w:t>Net cash change</w:t>
            </w:r>
          </w:p>
        </w:tc>
        <w:tc>
          <w:tcPr>
            <w:tcW w:w="0" w:type="auto"/>
            <w:vAlign w:val="center"/>
            <w:hideMark/>
          </w:tcPr>
          <w:p w14:paraId="01B5376D" w14:textId="77777777" w:rsidR="00F34BEC" w:rsidRDefault="00F34BEC">
            <w:pPr>
              <w:jc w:val="right"/>
              <w:rPr>
                <w:rFonts w:eastAsia="Times New Roman"/>
              </w:rPr>
            </w:pPr>
            <w:r>
              <w:rPr>
                <w:rFonts w:eastAsia="Times New Roman"/>
              </w:rPr>
              <w:t>($1,772.75)</w:t>
            </w:r>
          </w:p>
        </w:tc>
      </w:tr>
      <w:tr w:rsidR="00F34BEC" w14:paraId="2507E928" w14:textId="77777777">
        <w:trPr>
          <w:tblCellSpacing w:w="15" w:type="dxa"/>
        </w:trPr>
        <w:tc>
          <w:tcPr>
            <w:tcW w:w="0" w:type="auto"/>
            <w:vAlign w:val="center"/>
            <w:hideMark/>
          </w:tcPr>
          <w:p w14:paraId="6C8D6D51" w14:textId="77777777" w:rsidR="00F34BEC" w:rsidRDefault="00F34BEC">
            <w:pPr>
              <w:rPr>
                <w:rFonts w:eastAsia="Times New Roman"/>
              </w:rPr>
            </w:pPr>
            <w:r>
              <w:rPr>
                <w:rFonts w:eastAsia="Times New Roman"/>
              </w:rPr>
              <w:t>Ending unrestricted cash</w:t>
            </w:r>
          </w:p>
        </w:tc>
        <w:tc>
          <w:tcPr>
            <w:tcW w:w="0" w:type="auto"/>
            <w:vAlign w:val="center"/>
            <w:hideMark/>
          </w:tcPr>
          <w:p w14:paraId="08A7B643" w14:textId="77777777" w:rsidR="00F34BEC" w:rsidRDefault="00F34BEC">
            <w:pPr>
              <w:jc w:val="right"/>
              <w:rPr>
                <w:rFonts w:eastAsia="Times New Roman"/>
              </w:rPr>
            </w:pPr>
            <w:r>
              <w:rPr>
                <w:rFonts w:eastAsia="Times New Roman"/>
              </w:rPr>
              <w:t>$9.35</w:t>
            </w:r>
          </w:p>
        </w:tc>
      </w:tr>
      <w:tr w:rsidR="00F34BEC" w14:paraId="776292C6" w14:textId="77777777">
        <w:trPr>
          <w:tblCellSpacing w:w="15" w:type="dxa"/>
        </w:trPr>
        <w:tc>
          <w:tcPr>
            <w:tcW w:w="0" w:type="auto"/>
            <w:vAlign w:val="center"/>
            <w:hideMark/>
          </w:tcPr>
          <w:p w14:paraId="3B885B94" w14:textId="77777777" w:rsidR="00F34BEC" w:rsidRDefault="00F34BEC">
            <w:pPr>
              <w:rPr>
                <w:rFonts w:eastAsia="Times New Roman"/>
              </w:rPr>
            </w:pPr>
            <w:r>
              <w:rPr>
                <w:rFonts w:eastAsia="Times New Roman"/>
              </w:rPr>
              <w:t>Ending restricted cash</w:t>
            </w:r>
          </w:p>
        </w:tc>
        <w:tc>
          <w:tcPr>
            <w:tcW w:w="0" w:type="auto"/>
            <w:vAlign w:val="center"/>
            <w:hideMark/>
          </w:tcPr>
          <w:p w14:paraId="792E1182" w14:textId="77777777" w:rsidR="00F34BEC" w:rsidRDefault="00F34BEC">
            <w:pPr>
              <w:jc w:val="right"/>
              <w:rPr>
                <w:rFonts w:eastAsia="Times New Roman"/>
              </w:rPr>
            </w:pPr>
            <w:r>
              <w:rPr>
                <w:rFonts w:eastAsia="Times New Roman"/>
              </w:rPr>
              <w:t>$52.43</w:t>
            </w:r>
          </w:p>
        </w:tc>
      </w:tr>
      <w:tr w:rsidR="00F34BEC" w14:paraId="0036CB06" w14:textId="77777777">
        <w:trPr>
          <w:tblCellSpacing w:w="15" w:type="dxa"/>
        </w:trPr>
        <w:tc>
          <w:tcPr>
            <w:tcW w:w="0" w:type="auto"/>
            <w:vAlign w:val="center"/>
            <w:hideMark/>
          </w:tcPr>
          <w:p w14:paraId="1BA59B03" w14:textId="77777777" w:rsidR="00F34BEC" w:rsidRDefault="00F34BEC">
            <w:pPr>
              <w:rPr>
                <w:rFonts w:eastAsia="Times New Roman"/>
              </w:rPr>
            </w:pPr>
            <w:r>
              <w:rPr>
                <w:rStyle w:val="Strong"/>
                <w:rFonts w:eastAsia="Times New Roman"/>
              </w:rPr>
              <w:t>Ending total cash</w:t>
            </w:r>
          </w:p>
        </w:tc>
        <w:tc>
          <w:tcPr>
            <w:tcW w:w="0" w:type="auto"/>
            <w:vAlign w:val="center"/>
            <w:hideMark/>
          </w:tcPr>
          <w:p w14:paraId="3B3876EA" w14:textId="77777777" w:rsidR="00F34BEC" w:rsidRDefault="00F34BEC">
            <w:pPr>
              <w:jc w:val="right"/>
              <w:rPr>
                <w:rFonts w:eastAsia="Times New Roman"/>
              </w:rPr>
            </w:pPr>
            <w:r>
              <w:rPr>
                <w:rStyle w:val="Strong"/>
                <w:rFonts w:eastAsia="Times New Roman"/>
              </w:rPr>
              <w:t>$61.78</w:t>
            </w:r>
          </w:p>
        </w:tc>
      </w:tr>
      <w:tr w:rsidR="00F34BEC" w14:paraId="3AA8D41B" w14:textId="77777777">
        <w:trPr>
          <w:tblCellSpacing w:w="15" w:type="dxa"/>
        </w:trPr>
        <w:tc>
          <w:tcPr>
            <w:tcW w:w="0" w:type="auto"/>
            <w:vAlign w:val="center"/>
            <w:hideMark/>
          </w:tcPr>
          <w:p w14:paraId="51175AC1" w14:textId="77777777" w:rsidR="00F34BEC" w:rsidRDefault="00F34BEC">
            <w:pPr>
              <w:rPr>
                <w:rFonts w:eastAsia="Times New Roman"/>
              </w:rPr>
            </w:pPr>
            <w:r>
              <w:rPr>
                <w:rFonts w:eastAsia="Times New Roman"/>
              </w:rPr>
              <w:t>Debt</w:t>
            </w:r>
          </w:p>
        </w:tc>
        <w:tc>
          <w:tcPr>
            <w:tcW w:w="0" w:type="auto"/>
            <w:vAlign w:val="center"/>
            <w:hideMark/>
          </w:tcPr>
          <w:p w14:paraId="08017316" w14:textId="77777777" w:rsidR="00F34BEC" w:rsidRDefault="00F34BEC">
            <w:pPr>
              <w:jc w:val="right"/>
              <w:rPr>
                <w:rFonts w:eastAsia="Times New Roman"/>
              </w:rPr>
            </w:pPr>
            <w:r>
              <w:rPr>
                <w:rFonts w:eastAsia="Times New Roman"/>
              </w:rPr>
              <w:t>$0.00</w:t>
            </w:r>
          </w:p>
        </w:tc>
      </w:tr>
    </w:tbl>
    <w:p w14:paraId="79DDE3BA" w14:textId="77777777" w:rsidR="00F34BEC" w:rsidRDefault="00F34BEC">
      <w:pPr>
        <w:pStyle w:val="NormalWeb"/>
      </w:pPr>
      <w:r>
        <w:t>September contributions and grants included $175.00 in unrestricted revenue and $40.00 in restricted revenue.</w:t>
      </w:r>
    </w:p>
    <w:p w14:paraId="50764131" w14:textId="77777777" w:rsidR="00F34BEC" w:rsidRDefault="00F34BEC">
      <w:pPr>
        <w:pStyle w:val="NormalWeb"/>
      </w:pPr>
      <w:r>
        <w:t>Direct program and emergency assistance totaled $425.00. Operating and administrative expenses totaled $1,562.75.</w:t>
      </w:r>
    </w:p>
    <w:p w14:paraId="63AFE0EC" w14:textId="77777777" w:rsidR="00F34BEC" w:rsidRDefault="00F34BEC">
      <w:pPr>
        <w:pStyle w:val="NormalWeb"/>
      </w:pPr>
      <w:r>
        <w:t>The September report also documented a $223.97 restricted reimbursement/funding adjustment associated with the final storage payment and website expense. Individual post-adjustment fund allocations require reconciliation, and the adjustment must not be counted again as October revenue.</w:t>
      </w:r>
    </w:p>
    <w:p w14:paraId="6D549BB1" w14:textId="77777777" w:rsidR="00F34BEC" w:rsidRDefault="00F34BEC">
      <w:pPr>
        <w:pStyle w:val="Heading2"/>
        <w:rPr>
          <w:rFonts w:eastAsia="Times New Roman"/>
        </w:rPr>
      </w:pPr>
      <w:r>
        <w:rPr>
          <w:rFonts w:eastAsia="Times New Roman"/>
        </w:rPr>
        <w:t>October 2026 Month-to-Date Financial Position</w:t>
      </w:r>
    </w:p>
    <w:p w14:paraId="61E5CCF6" w14:textId="77777777" w:rsidR="00F34BEC" w:rsidRDefault="00F34BEC">
      <w:pPr>
        <w:pStyle w:val="NormalWeb"/>
      </w:pPr>
      <w:r>
        <w:t>As of October 22, 2026, the Foundation has confirmed that its bank statements match the reported cash figures.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84"/>
        <w:gridCol w:w="1907"/>
      </w:tblGrid>
      <w:tr w:rsidR="00F34BEC" w14:paraId="4A14E1E5" w14:textId="77777777">
        <w:trPr>
          <w:tblHeader/>
          <w:tblCellSpacing w:w="15" w:type="dxa"/>
        </w:trPr>
        <w:tc>
          <w:tcPr>
            <w:tcW w:w="0" w:type="auto"/>
            <w:vAlign w:val="center"/>
            <w:hideMark/>
          </w:tcPr>
          <w:p w14:paraId="47F4D65A" w14:textId="77777777" w:rsidR="00F34BEC" w:rsidRDefault="00F34BEC">
            <w:pPr>
              <w:jc w:val="center"/>
              <w:rPr>
                <w:rFonts w:eastAsia="Times New Roman"/>
                <w:b/>
                <w:bCs/>
              </w:rPr>
            </w:pPr>
            <w:r>
              <w:rPr>
                <w:rFonts w:eastAsia="Times New Roman"/>
                <w:b/>
                <w:bCs/>
              </w:rPr>
              <w:t>Measure</w:t>
            </w:r>
          </w:p>
        </w:tc>
        <w:tc>
          <w:tcPr>
            <w:tcW w:w="0" w:type="auto"/>
            <w:vAlign w:val="center"/>
            <w:hideMark/>
          </w:tcPr>
          <w:p w14:paraId="16D0247F" w14:textId="77777777" w:rsidR="00F34BEC" w:rsidRDefault="00F34BEC">
            <w:pPr>
              <w:jc w:val="right"/>
              <w:rPr>
                <w:rFonts w:eastAsia="Times New Roman"/>
                <w:b/>
                <w:bCs/>
              </w:rPr>
            </w:pPr>
            <w:r>
              <w:rPr>
                <w:rFonts w:eastAsia="Times New Roman"/>
                <w:b/>
                <w:bCs/>
              </w:rPr>
              <w:t>October 22, 2026</w:t>
            </w:r>
          </w:p>
        </w:tc>
      </w:tr>
      <w:tr w:rsidR="00F34BEC" w14:paraId="29EB6325" w14:textId="77777777">
        <w:trPr>
          <w:tblCellSpacing w:w="15" w:type="dxa"/>
        </w:trPr>
        <w:tc>
          <w:tcPr>
            <w:tcW w:w="0" w:type="auto"/>
            <w:vAlign w:val="center"/>
            <w:hideMark/>
          </w:tcPr>
          <w:p w14:paraId="1E2AEC27" w14:textId="77777777" w:rsidR="00F34BEC" w:rsidRDefault="00F34BEC">
            <w:pPr>
              <w:rPr>
                <w:rFonts w:eastAsia="Times New Roman"/>
              </w:rPr>
            </w:pPr>
            <w:r>
              <w:rPr>
                <w:rFonts w:eastAsia="Times New Roman"/>
              </w:rPr>
              <w:t>September closing cash</w:t>
            </w:r>
          </w:p>
        </w:tc>
        <w:tc>
          <w:tcPr>
            <w:tcW w:w="0" w:type="auto"/>
            <w:vAlign w:val="center"/>
            <w:hideMark/>
          </w:tcPr>
          <w:p w14:paraId="6FB26576" w14:textId="77777777" w:rsidR="00F34BEC" w:rsidRDefault="00F34BEC">
            <w:pPr>
              <w:jc w:val="right"/>
              <w:rPr>
                <w:rFonts w:eastAsia="Times New Roman"/>
              </w:rPr>
            </w:pPr>
            <w:r>
              <w:rPr>
                <w:rFonts w:eastAsia="Times New Roman"/>
              </w:rPr>
              <w:t>$61.78</w:t>
            </w:r>
          </w:p>
        </w:tc>
      </w:tr>
      <w:tr w:rsidR="00F34BEC" w14:paraId="18E30445" w14:textId="77777777">
        <w:trPr>
          <w:tblCellSpacing w:w="15" w:type="dxa"/>
        </w:trPr>
        <w:tc>
          <w:tcPr>
            <w:tcW w:w="0" w:type="auto"/>
            <w:vAlign w:val="center"/>
            <w:hideMark/>
          </w:tcPr>
          <w:p w14:paraId="46473EE9" w14:textId="77777777" w:rsidR="00F34BEC" w:rsidRDefault="00F34BEC">
            <w:pPr>
              <w:rPr>
                <w:rFonts w:eastAsia="Times New Roman"/>
              </w:rPr>
            </w:pPr>
            <w:r>
              <w:rPr>
                <w:rFonts w:eastAsia="Times New Roman"/>
              </w:rPr>
              <w:t>October contribution recorded</w:t>
            </w:r>
          </w:p>
        </w:tc>
        <w:tc>
          <w:tcPr>
            <w:tcW w:w="0" w:type="auto"/>
            <w:vAlign w:val="center"/>
            <w:hideMark/>
          </w:tcPr>
          <w:p w14:paraId="36453A86" w14:textId="77777777" w:rsidR="00F34BEC" w:rsidRDefault="00F34BEC">
            <w:pPr>
              <w:jc w:val="right"/>
              <w:rPr>
                <w:rFonts w:eastAsia="Times New Roman"/>
              </w:rPr>
            </w:pPr>
            <w:r>
              <w:rPr>
                <w:rFonts w:eastAsia="Times New Roman"/>
              </w:rPr>
              <w:t>$25.00</w:t>
            </w:r>
          </w:p>
        </w:tc>
      </w:tr>
      <w:tr w:rsidR="00F34BEC" w14:paraId="798AD055" w14:textId="77777777">
        <w:trPr>
          <w:tblCellSpacing w:w="15" w:type="dxa"/>
        </w:trPr>
        <w:tc>
          <w:tcPr>
            <w:tcW w:w="0" w:type="auto"/>
            <w:vAlign w:val="center"/>
            <w:hideMark/>
          </w:tcPr>
          <w:p w14:paraId="58277985" w14:textId="77777777" w:rsidR="00F34BEC" w:rsidRDefault="00F34BEC">
            <w:pPr>
              <w:rPr>
                <w:rFonts w:eastAsia="Times New Roman"/>
              </w:rPr>
            </w:pPr>
            <w:r>
              <w:rPr>
                <w:rStyle w:val="Strong"/>
                <w:rFonts w:eastAsia="Times New Roman"/>
              </w:rPr>
              <w:t>Total cash</w:t>
            </w:r>
          </w:p>
        </w:tc>
        <w:tc>
          <w:tcPr>
            <w:tcW w:w="0" w:type="auto"/>
            <w:vAlign w:val="center"/>
            <w:hideMark/>
          </w:tcPr>
          <w:p w14:paraId="7D6DD4D4" w14:textId="77777777" w:rsidR="00F34BEC" w:rsidRDefault="00F34BEC">
            <w:pPr>
              <w:jc w:val="right"/>
              <w:rPr>
                <w:rFonts w:eastAsia="Times New Roman"/>
              </w:rPr>
            </w:pPr>
            <w:r>
              <w:rPr>
                <w:rStyle w:val="Strong"/>
                <w:rFonts w:eastAsia="Times New Roman"/>
              </w:rPr>
              <w:t>$86.78</w:t>
            </w:r>
          </w:p>
        </w:tc>
      </w:tr>
      <w:tr w:rsidR="00F34BEC" w14:paraId="55938CD4" w14:textId="77777777">
        <w:trPr>
          <w:tblCellSpacing w:w="15" w:type="dxa"/>
        </w:trPr>
        <w:tc>
          <w:tcPr>
            <w:tcW w:w="0" w:type="auto"/>
            <w:vAlign w:val="center"/>
            <w:hideMark/>
          </w:tcPr>
          <w:p w14:paraId="5D674EBA" w14:textId="77777777" w:rsidR="00F34BEC" w:rsidRDefault="00F34BEC">
            <w:pPr>
              <w:rPr>
                <w:rFonts w:eastAsia="Times New Roman"/>
              </w:rPr>
            </w:pPr>
            <w:r>
              <w:rPr>
                <w:rFonts w:eastAsia="Times New Roman"/>
              </w:rPr>
              <w:t>Unrestricted cash</w:t>
            </w:r>
          </w:p>
        </w:tc>
        <w:tc>
          <w:tcPr>
            <w:tcW w:w="0" w:type="auto"/>
            <w:vAlign w:val="center"/>
            <w:hideMark/>
          </w:tcPr>
          <w:p w14:paraId="5F442D87" w14:textId="77777777" w:rsidR="00F34BEC" w:rsidRDefault="00F34BEC">
            <w:pPr>
              <w:jc w:val="right"/>
              <w:rPr>
                <w:rFonts w:eastAsia="Times New Roman"/>
              </w:rPr>
            </w:pPr>
            <w:r>
              <w:rPr>
                <w:rFonts w:eastAsia="Times New Roman"/>
              </w:rPr>
              <w:t>$9.35</w:t>
            </w:r>
          </w:p>
        </w:tc>
      </w:tr>
      <w:tr w:rsidR="00F34BEC" w14:paraId="2B4A54C2" w14:textId="77777777">
        <w:trPr>
          <w:tblCellSpacing w:w="15" w:type="dxa"/>
        </w:trPr>
        <w:tc>
          <w:tcPr>
            <w:tcW w:w="0" w:type="auto"/>
            <w:vAlign w:val="center"/>
            <w:hideMark/>
          </w:tcPr>
          <w:p w14:paraId="188E735D" w14:textId="77777777" w:rsidR="00F34BEC" w:rsidRDefault="00F34BEC">
            <w:pPr>
              <w:rPr>
                <w:rFonts w:eastAsia="Times New Roman"/>
              </w:rPr>
            </w:pPr>
            <w:r>
              <w:rPr>
                <w:rFonts w:eastAsia="Times New Roman"/>
              </w:rPr>
              <w:t>Restricted cash</w:t>
            </w:r>
          </w:p>
        </w:tc>
        <w:tc>
          <w:tcPr>
            <w:tcW w:w="0" w:type="auto"/>
            <w:vAlign w:val="center"/>
            <w:hideMark/>
          </w:tcPr>
          <w:p w14:paraId="2BEC822A" w14:textId="77777777" w:rsidR="00F34BEC" w:rsidRDefault="00F34BEC">
            <w:pPr>
              <w:jc w:val="right"/>
              <w:rPr>
                <w:rFonts w:eastAsia="Times New Roman"/>
              </w:rPr>
            </w:pPr>
            <w:r>
              <w:rPr>
                <w:rFonts w:eastAsia="Times New Roman"/>
              </w:rPr>
              <w:t>$77.43</w:t>
            </w:r>
          </w:p>
        </w:tc>
      </w:tr>
      <w:tr w:rsidR="00F34BEC" w14:paraId="0F64631C" w14:textId="77777777">
        <w:trPr>
          <w:tblCellSpacing w:w="15" w:type="dxa"/>
        </w:trPr>
        <w:tc>
          <w:tcPr>
            <w:tcW w:w="0" w:type="auto"/>
            <w:vAlign w:val="center"/>
            <w:hideMark/>
          </w:tcPr>
          <w:p w14:paraId="5DA26599" w14:textId="77777777" w:rsidR="00F34BEC" w:rsidRDefault="00F34BEC">
            <w:pPr>
              <w:rPr>
                <w:rFonts w:eastAsia="Times New Roman"/>
              </w:rPr>
            </w:pPr>
            <w:r>
              <w:rPr>
                <w:rFonts w:eastAsia="Times New Roman"/>
              </w:rPr>
              <w:t>Debt</w:t>
            </w:r>
          </w:p>
        </w:tc>
        <w:tc>
          <w:tcPr>
            <w:tcW w:w="0" w:type="auto"/>
            <w:vAlign w:val="center"/>
            <w:hideMark/>
          </w:tcPr>
          <w:p w14:paraId="3A209798" w14:textId="77777777" w:rsidR="00F34BEC" w:rsidRDefault="00F34BEC">
            <w:pPr>
              <w:jc w:val="right"/>
              <w:rPr>
                <w:rFonts w:eastAsia="Times New Roman"/>
              </w:rPr>
            </w:pPr>
            <w:r>
              <w:rPr>
                <w:rFonts w:eastAsia="Times New Roman"/>
              </w:rPr>
              <w:t>$0.00</w:t>
            </w:r>
          </w:p>
        </w:tc>
      </w:tr>
      <w:tr w:rsidR="00F34BEC" w14:paraId="4E280C5F" w14:textId="77777777">
        <w:trPr>
          <w:tblCellSpacing w:w="15" w:type="dxa"/>
        </w:trPr>
        <w:tc>
          <w:tcPr>
            <w:tcW w:w="0" w:type="auto"/>
            <w:vAlign w:val="center"/>
            <w:hideMark/>
          </w:tcPr>
          <w:p w14:paraId="193AE830" w14:textId="77777777" w:rsidR="00F34BEC" w:rsidRDefault="00F34BEC">
            <w:pPr>
              <w:rPr>
                <w:rFonts w:eastAsia="Times New Roman"/>
              </w:rPr>
            </w:pPr>
            <w:r>
              <w:rPr>
                <w:rFonts w:eastAsia="Times New Roman"/>
              </w:rPr>
              <w:t>2026 year-to-date contributions and grants</w:t>
            </w:r>
          </w:p>
        </w:tc>
        <w:tc>
          <w:tcPr>
            <w:tcW w:w="0" w:type="auto"/>
            <w:vAlign w:val="center"/>
            <w:hideMark/>
          </w:tcPr>
          <w:p w14:paraId="03EA4A10" w14:textId="77777777" w:rsidR="00F34BEC" w:rsidRDefault="00F34BEC">
            <w:pPr>
              <w:jc w:val="right"/>
              <w:rPr>
                <w:rFonts w:eastAsia="Times New Roman"/>
              </w:rPr>
            </w:pPr>
            <w:r>
              <w:rPr>
                <w:rFonts w:eastAsia="Times New Roman"/>
              </w:rPr>
              <w:t>$16,239.69</w:t>
            </w:r>
          </w:p>
        </w:tc>
      </w:tr>
    </w:tbl>
    <w:p w14:paraId="716F7A11" w14:textId="77777777" w:rsidR="00F34BEC" w:rsidRDefault="00F34BEC">
      <w:pPr>
        <w:pStyle w:val="NormalWeb"/>
      </w:pPr>
      <w:r>
        <w:t>The $25.00 October contribution is restricted for Bullying Prevention.</w:t>
      </w:r>
    </w:p>
    <w:p w14:paraId="5CAACB0C" w14:textId="77777777" w:rsidR="00F34BEC" w:rsidRDefault="00F34BEC">
      <w:pPr>
        <w:pStyle w:val="NormalWeb"/>
      </w:pPr>
      <w:r>
        <w:t>The October operating costs identified to date total approximately $966.97:</w:t>
      </w:r>
    </w:p>
    <w:p w14:paraId="1F3C625A" w14:textId="77777777" w:rsidR="00F34BEC" w:rsidRDefault="00F34BEC">
      <w:pPr>
        <w:pStyle w:val="NormalWeb"/>
        <w:numPr>
          <w:ilvl w:val="0"/>
          <w:numId w:val="6"/>
        </w:numPr>
      </w:pPr>
      <w:r>
        <w:t>Rent: $888.00.</w:t>
      </w:r>
    </w:p>
    <w:p w14:paraId="6A95EC1C" w14:textId="77777777" w:rsidR="00F34BEC" w:rsidRDefault="00F34BEC">
      <w:pPr>
        <w:pStyle w:val="NormalWeb"/>
        <w:numPr>
          <w:ilvl w:val="0"/>
          <w:numId w:val="6"/>
        </w:numPr>
      </w:pPr>
      <w:r>
        <w:t>Phone: $40.00.</w:t>
      </w:r>
    </w:p>
    <w:p w14:paraId="148FF113" w14:textId="77777777" w:rsidR="00F34BEC" w:rsidRDefault="00F34BEC">
      <w:pPr>
        <w:pStyle w:val="NormalWeb"/>
        <w:numPr>
          <w:ilvl w:val="0"/>
          <w:numId w:val="6"/>
        </w:numPr>
      </w:pPr>
      <w:r>
        <w:t>Website: $38.97.</w:t>
      </w:r>
    </w:p>
    <w:p w14:paraId="712025E3" w14:textId="77777777" w:rsidR="00F34BEC" w:rsidRDefault="00F34BEC">
      <w:pPr>
        <w:pStyle w:val="NormalWeb"/>
      </w:pPr>
      <w:r>
        <w:t>The Founder personally paid the website expense and the other listed costs are also reported as Founder-paid in the current working schedule. These costs must be distinguished from direct Foundation bank-account outflows.</w:t>
      </w:r>
    </w:p>
    <w:p w14:paraId="795A7A4F" w14:textId="77777777" w:rsidR="00F34BEC" w:rsidRDefault="00F34BEC">
      <w:pPr>
        <w:pStyle w:val="NormalWeb"/>
      </w:pPr>
      <w:r>
        <w:t>The cash position is confirmed through the stated reporting cutoff. October remains open through October 31, and this report does not claim to be a final October month-end financial statement.</w:t>
      </w:r>
    </w:p>
    <w:p w14:paraId="1F132ADA" w14:textId="77777777" w:rsidR="00F34BEC" w:rsidRDefault="00F34BEC">
      <w:pPr>
        <w:pStyle w:val="Heading2"/>
        <w:rPr>
          <w:rFonts w:eastAsia="Times New Roman"/>
        </w:rPr>
      </w:pPr>
      <w:r>
        <w:rPr>
          <w:rFonts w:eastAsia="Times New Roman"/>
        </w:rPr>
        <w:t>Restricted Funds and Financial Stewardship</w:t>
      </w:r>
    </w:p>
    <w:p w14:paraId="3D5FB44E" w14:textId="77777777" w:rsidR="00F34BEC" w:rsidRDefault="00F34BEC">
      <w:pPr>
        <w:pStyle w:val="NormalWeb"/>
      </w:pPr>
      <w:r>
        <w:t>The Foundation maintains separate tracking of restricted and unrestricted funds.</w:t>
      </w:r>
    </w:p>
    <w:p w14:paraId="1B94D646" w14:textId="77777777" w:rsidR="00F34BEC" w:rsidRDefault="00F34BEC">
      <w:pPr>
        <w:pStyle w:val="NormalWeb"/>
      </w:pPr>
      <w:r>
        <w:t>Restricted funds reported in 2026 include support for:</w:t>
      </w:r>
    </w:p>
    <w:p w14:paraId="37ED0F46" w14:textId="77777777" w:rsidR="00F34BEC" w:rsidRDefault="00F34BEC">
      <w:pPr>
        <w:pStyle w:val="NormalWeb"/>
        <w:numPr>
          <w:ilvl w:val="0"/>
          <w:numId w:val="7"/>
        </w:numPr>
      </w:pPr>
      <w:r>
        <w:t>Bullying Prevention.</w:t>
      </w:r>
    </w:p>
    <w:p w14:paraId="1C6FD416" w14:textId="77777777" w:rsidR="00F34BEC" w:rsidRDefault="00F34BEC">
      <w:pPr>
        <w:pStyle w:val="NormalWeb"/>
        <w:numPr>
          <w:ilvl w:val="0"/>
          <w:numId w:val="7"/>
        </w:numPr>
      </w:pPr>
      <w:r>
        <w:t>Crisis Relief.</w:t>
      </w:r>
    </w:p>
    <w:p w14:paraId="092819CD" w14:textId="77777777" w:rsidR="00F34BEC" w:rsidRDefault="00F34BEC">
      <w:pPr>
        <w:pStyle w:val="NormalWeb"/>
        <w:numPr>
          <w:ilvl w:val="0"/>
          <w:numId w:val="7"/>
        </w:numPr>
      </w:pPr>
      <w:r>
        <w:t>Santino Gonzalez Future Barber Fund.</w:t>
      </w:r>
    </w:p>
    <w:p w14:paraId="62727DBA" w14:textId="77777777" w:rsidR="00F34BEC" w:rsidRDefault="00F34BEC">
      <w:pPr>
        <w:pStyle w:val="NormalWeb"/>
        <w:numPr>
          <w:ilvl w:val="0"/>
          <w:numId w:val="7"/>
        </w:numPr>
      </w:pPr>
      <w:proofErr w:type="spellStart"/>
      <w:r>
        <w:t>AnchorPoint</w:t>
      </w:r>
      <w:proofErr w:type="spellEnd"/>
      <w:r>
        <w:t xml:space="preserve"> Safe House.</w:t>
      </w:r>
    </w:p>
    <w:p w14:paraId="5D4E2182" w14:textId="77777777" w:rsidR="00F34BEC" w:rsidRDefault="00F34BEC">
      <w:pPr>
        <w:pStyle w:val="NormalWeb"/>
        <w:numPr>
          <w:ilvl w:val="0"/>
          <w:numId w:val="7"/>
        </w:numPr>
      </w:pPr>
      <w:r>
        <w:t>Gun Violence Memorial Initiative.</w:t>
      </w:r>
    </w:p>
    <w:p w14:paraId="1968695F" w14:textId="77777777" w:rsidR="00F34BEC" w:rsidRDefault="00F34BEC">
      <w:pPr>
        <w:pStyle w:val="NormalWeb"/>
      </w:pPr>
      <w:r>
        <w:t>Restricted funds are not freely available for general operating expenses. The September funding adjustment requires reconciliation at the individual-fund level before current fund-by-fund balances can be presented as final.</w:t>
      </w:r>
    </w:p>
    <w:p w14:paraId="559F1FA0" w14:textId="77777777" w:rsidR="00F34BEC" w:rsidRDefault="00F34BEC">
      <w:pPr>
        <w:pStyle w:val="NormalWeb"/>
      </w:pPr>
      <w:r>
        <w:t>The Foundation’s current aggregate restricted cash figure is $77.43 as of October 22, 2026.</w:t>
      </w:r>
    </w:p>
    <w:p w14:paraId="548D2D37" w14:textId="77777777" w:rsidR="00F34BEC" w:rsidRDefault="00F34BEC">
      <w:pPr>
        <w:pStyle w:val="Heading2"/>
        <w:rPr>
          <w:rFonts w:eastAsia="Times New Roman"/>
        </w:rPr>
      </w:pPr>
      <w:r>
        <w:rPr>
          <w:rFonts w:eastAsia="Times New Roman"/>
        </w:rPr>
        <w:t>Financial Sustainability</w:t>
      </w:r>
    </w:p>
    <w:p w14:paraId="470C8CFE" w14:textId="77777777" w:rsidR="00F34BEC" w:rsidRDefault="00F34BEC">
      <w:pPr>
        <w:pStyle w:val="NormalWeb"/>
      </w:pPr>
      <w:r>
        <w:t>The most significant current financial challenge is unrestricted liquidity.</w:t>
      </w:r>
    </w:p>
    <w:p w14:paraId="4789C956" w14:textId="77777777" w:rsidR="00F34BEC" w:rsidRDefault="00F34BEC">
      <w:pPr>
        <w:pStyle w:val="NormalWeb"/>
      </w:pPr>
      <w:r>
        <w:t>With $9.35 in unrestricted cash as of October 22, the Foundation has very limited flexibility to meet recurring expenses or unexpected obligations without new unrestricted funding.</w:t>
      </w:r>
    </w:p>
    <w:p w14:paraId="0BFDB2A6" w14:textId="77777777" w:rsidR="00F34BEC" w:rsidRDefault="00F34BEC">
      <w:pPr>
        <w:pStyle w:val="NormalWeb"/>
      </w:pPr>
      <w:r>
        <w:t>The organization’s debt-free position is a strength, but debt-free operations alone do not establish long-term sustainability.</w:t>
      </w:r>
    </w:p>
    <w:p w14:paraId="1EBB4BF2" w14:textId="77777777" w:rsidR="00F34BEC" w:rsidRDefault="00F34BEC">
      <w:pPr>
        <w:pStyle w:val="NormalWeb"/>
      </w:pPr>
      <w:r>
        <w:t>The Foundation’s priorities are to:</w:t>
      </w:r>
    </w:p>
    <w:p w14:paraId="125D3AE3" w14:textId="77777777" w:rsidR="00F34BEC" w:rsidRDefault="00F34BEC">
      <w:pPr>
        <w:pStyle w:val="NormalWeb"/>
        <w:numPr>
          <w:ilvl w:val="0"/>
          <w:numId w:val="8"/>
        </w:numPr>
      </w:pPr>
      <w:r>
        <w:t>Increase recurring unrestricted contributions.</w:t>
      </w:r>
    </w:p>
    <w:p w14:paraId="1DA8E43E" w14:textId="77777777" w:rsidR="00F34BEC" w:rsidRDefault="00F34BEC">
      <w:pPr>
        <w:pStyle w:val="NormalWeb"/>
        <w:numPr>
          <w:ilvl w:val="0"/>
          <w:numId w:val="8"/>
        </w:numPr>
      </w:pPr>
      <w:r>
        <w:t>Expand private donor and corporate relationships.</w:t>
      </w:r>
    </w:p>
    <w:p w14:paraId="7348E6D4" w14:textId="77777777" w:rsidR="00F34BEC" w:rsidRDefault="00F34BEC">
      <w:pPr>
        <w:pStyle w:val="NormalWeb"/>
        <w:numPr>
          <w:ilvl w:val="0"/>
          <w:numId w:val="8"/>
        </w:numPr>
      </w:pPr>
      <w:r>
        <w:t>Pursue appropriate foundation and institutional funding.</w:t>
      </w:r>
    </w:p>
    <w:p w14:paraId="4ECC37B8" w14:textId="77777777" w:rsidR="00F34BEC" w:rsidRDefault="00F34BEC">
      <w:pPr>
        <w:pStyle w:val="NormalWeb"/>
        <w:numPr>
          <w:ilvl w:val="0"/>
          <w:numId w:val="8"/>
        </w:numPr>
      </w:pPr>
      <w:r>
        <w:t>Maintain strict separation of restricted and unrestricted funds.</w:t>
      </w:r>
    </w:p>
    <w:p w14:paraId="0B826C7B" w14:textId="77777777" w:rsidR="00F34BEC" w:rsidRDefault="00F34BEC">
      <w:pPr>
        <w:pStyle w:val="NormalWeb"/>
        <w:numPr>
          <w:ilvl w:val="0"/>
          <w:numId w:val="8"/>
        </w:numPr>
      </w:pPr>
      <w:r>
        <w:t>Monitor cash and obligations regularly.</w:t>
      </w:r>
    </w:p>
    <w:p w14:paraId="25886DF9" w14:textId="77777777" w:rsidR="00F34BEC" w:rsidRDefault="00F34BEC">
      <w:pPr>
        <w:pStyle w:val="NormalWeb"/>
        <w:numPr>
          <w:ilvl w:val="0"/>
          <w:numId w:val="8"/>
        </w:numPr>
      </w:pPr>
      <w:r>
        <w:t>Document expenses paid personally by the Founder.</w:t>
      </w:r>
    </w:p>
    <w:p w14:paraId="7DEFA146" w14:textId="77777777" w:rsidR="00F34BEC" w:rsidRDefault="00F34BEC">
      <w:pPr>
        <w:pStyle w:val="NormalWeb"/>
        <w:numPr>
          <w:ilvl w:val="0"/>
          <w:numId w:val="8"/>
        </w:numPr>
      </w:pPr>
      <w:r>
        <w:t>Build toward a three-month operating reserve, followed by a longer-term six-month reserve.</w:t>
      </w:r>
    </w:p>
    <w:p w14:paraId="6D0B06FE" w14:textId="77777777" w:rsidR="00F34BEC" w:rsidRDefault="00F34BEC">
      <w:pPr>
        <w:rPr>
          <w:rFonts w:eastAsia="Times New Roman"/>
        </w:rPr>
      </w:pPr>
      <w:r>
        <w:rPr>
          <w:rFonts w:eastAsia="Times New Roman"/>
          <w:noProof/>
        </w:rPr>
        <mc:AlternateContent>
          <mc:Choice Requires="wps">
            <w:drawing>
              <wp:inline distT="0" distB="0" distL="0" distR="0" wp14:anchorId="457FD05E" wp14:editId="53697D84">
                <wp:extent cx="5943600" cy="1270"/>
                <wp:effectExtent l="0" t="31750" r="0" b="36830"/>
                <wp:docPr id="26985328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D839DC3"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B18352F" w14:textId="77777777" w:rsidR="00F34BEC" w:rsidRDefault="00F34BEC">
      <w:pPr>
        <w:pStyle w:val="Heading1"/>
        <w:rPr>
          <w:rFonts w:eastAsia="Times New Roman"/>
        </w:rPr>
      </w:pPr>
      <w:r>
        <w:rPr>
          <w:rFonts w:eastAsia="Times New Roman"/>
        </w:rPr>
        <w:t>6. CUMULATIVE MISSION IMPACT AND COMMITMENTS</w:t>
      </w:r>
    </w:p>
    <w:p w14:paraId="4ABD301A" w14:textId="77777777" w:rsidR="00F34BEC" w:rsidRDefault="00F34BEC">
      <w:pPr>
        <w:pStyle w:val="NormalWeb"/>
      </w:pPr>
      <w:r>
        <w:t>The Foundation’s monthly reports include several different measures of mission activity. These measures should be presented separately rather than combined into a single unsupported financial total.</w:t>
      </w:r>
    </w:p>
    <w:p w14:paraId="56EB4217" w14:textId="77777777" w:rsidR="00F34BEC" w:rsidRDefault="00F34BEC">
      <w:pPr>
        <w:pStyle w:val="Heading2"/>
        <w:rPr>
          <w:rFonts w:eastAsia="Times New Roman"/>
        </w:rPr>
      </w:pPr>
      <w:r>
        <w:rPr>
          <w:rFonts w:eastAsia="Times New Roman"/>
        </w:rPr>
        <w:t>Reported 2026 Mission Measures</w:t>
      </w:r>
    </w:p>
    <w:p w14:paraId="1A5354BC" w14:textId="77777777" w:rsidR="00F34BEC" w:rsidRDefault="00F34BEC">
      <w:pPr>
        <w:pStyle w:val="NormalWeb"/>
      </w:pPr>
      <w:r>
        <w:t>The August report documented:</w:t>
      </w:r>
    </w:p>
    <w:p w14:paraId="09E664C0" w14:textId="77777777" w:rsidR="00F34BEC" w:rsidRDefault="00F34BEC">
      <w:pPr>
        <w:pStyle w:val="NormalWeb"/>
        <w:numPr>
          <w:ilvl w:val="0"/>
          <w:numId w:val="9"/>
        </w:numPr>
      </w:pPr>
      <w:r>
        <w:t>$12,500+ in cash-based mission activity year to date.</w:t>
      </w:r>
    </w:p>
    <w:p w14:paraId="66B3D2EB" w14:textId="77777777" w:rsidR="00F34BEC" w:rsidRDefault="00F34BEC">
      <w:pPr>
        <w:pStyle w:val="NormalWeb"/>
        <w:numPr>
          <w:ilvl w:val="0"/>
          <w:numId w:val="9"/>
        </w:numPr>
      </w:pPr>
      <w:r>
        <w:t>$26,000+ in estimated non-cash mission impact.</w:t>
      </w:r>
    </w:p>
    <w:p w14:paraId="1BAF71EA" w14:textId="77777777" w:rsidR="00F34BEC" w:rsidRDefault="00F34BEC">
      <w:pPr>
        <w:pStyle w:val="NormalWeb"/>
        <w:numPr>
          <w:ilvl w:val="0"/>
          <w:numId w:val="9"/>
        </w:numPr>
      </w:pPr>
      <w:r>
        <w:t>$24,500+ in scholarship commitments.</w:t>
      </w:r>
    </w:p>
    <w:p w14:paraId="34B1F11B" w14:textId="77777777" w:rsidR="00F34BEC" w:rsidRDefault="00F34BEC">
      <w:pPr>
        <w:pStyle w:val="NormalWeb"/>
        <w:numPr>
          <w:ilvl w:val="0"/>
          <w:numId w:val="9"/>
        </w:numPr>
      </w:pPr>
      <w:r>
        <w:t>An estimated combined documented impact of $63,000+.</w:t>
      </w:r>
    </w:p>
    <w:p w14:paraId="297B5D25" w14:textId="77777777" w:rsidR="00F34BEC" w:rsidRDefault="00F34BEC">
      <w:pPr>
        <w:pStyle w:val="NormalWeb"/>
        <w:numPr>
          <w:ilvl w:val="0"/>
          <w:numId w:val="9"/>
        </w:numPr>
      </w:pPr>
      <w:r>
        <w:t>113 mission hours for August.</w:t>
      </w:r>
    </w:p>
    <w:p w14:paraId="7CB12117" w14:textId="77777777" w:rsidR="00F34BEC" w:rsidRDefault="00F34BEC">
      <w:pPr>
        <w:pStyle w:val="NormalWeb"/>
        <w:numPr>
          <w:ilvl w:val="0"/>
          <w:numId w:val="9"/>
        </w:numPr>
      </w:pPr>
      <w:r>
        <w:t>$7,000+ in estimated professional and volunteer service value for August.</w:t>
      </w:r>
    </w:p>
    <w:p w14:paraId="324F6897" w14:textId="77777777" w:rsidR="00F34BEC" w:rsidRDefault="00F34BEC">
      <w:pPr>
        <w:pStyle w:val="NormalWeb"/>
      </w:pPr>
      <w:r>
        <w:t>The September report later identified a working mission-impact and commitment baseline exceeding $72,800. A subsequent October working snapshot placed the estimate above $82,200.</w:t>
      </w:r>
    </w:p>
    <w:p w14:paraId="2B6C3EA6" w14:textId="77777777" w:rsidR="00F34BEC" w:rsidRDefault="00F34BEC">
      <w:pPr>
        <w:pStyle w:val="NormalWeb"/>
      </w:pPr>
      <w:r>
        <w:t>These are successive reporting snapshots, not amounts that should be added together. The latest cumulative estimate requires reconciliation against its supporting schedule, including scholarship commitments, professional-service estimates, volunteer activity, and other documented categories.</w:t>
      </w:r>
    </w:p>
    <w:p w14:paraId="72AC3F51" w14:textId="77777777" w:rsidR="00F34BEC" w:rsidRDefault="00F34BEC">
      <w:pPr>
        <w:pStyle w:val="NormalWeb"/>
      </w:pPr>
      <w:r>
        <w:t>The figures are not audited financial valuations, cash balances, or amounts available for operating expenses.</w:t>
      </w:r>
    </w:p>
    <w:p w14:paraId="5505FE89" w14:textId="77777777" w:rsidR="00F34BEC" w:rsidRDefault="00F34BEC">
      <w:pPr>
        <w:pStyle w:val="Heading2"/>
        <w:rPr>
          <w:rFonts w:eastAsia="Times New Roman"/>
        </w:rPr>
      </w:pPr>
      <w:r>
        <w:rPr>
          <w:rFonts w:eastAsia="Times New Roman"/>
        </w:rPr>
        <w:t>Beneficiary and Community Activity</w:t>
      </w:r>
    </w:p>
    <w:p w14:paraId="6202AE33" w14:textId="77777777" w:rsidR="00F34BEC" w:rsidRDefault="00F34BEC">
      <w:pPr>
        <w:pStyle w:val="NormalWeb"/>
      </w:pPr>
      <w:r>
        <w:t>Documented examples in the Foundation’s 2026 reporting include:</w:t>
      </w:r>
    </w:p>
    <w:p w14:paraId="1BE1D1F7" w14:textId="77777777" w:rsidR="00F34BEC" w:rsidRDefault="00F34BEC">
      <w:pPr>
        <w:pStyle w:val="NormalWeb"/>
        <w:numPr>
          <w:ilvl w:val="0"/>
          <w:numId w:val="10"/>
        </w:numPr>
      </w:pPr>
      <w:r>
        <w:t>72 flood-affected families assisted through the Texas emergency relief response.</w:t>
      </w:r>
    </w:p>
    <w:p w14:paraId="4140B8BD" w14:textId="77777777" w:rsidR="00F34BEC" w:rsidRDefault="00F34BEC">
      <w:pPr>
        <w:pStyle w:val="NormalWeb"/>
        <w:numPr>
          <w:ilvl w:val="0"/>
          <w:numId w:val="10"/>
        </w:numPr>
      </w:pPr>
      <w:r>
        <w:t xml:space="preserve">17 youth and 13 families served through the reported </w:t>
      </w:r>
      <w:proofErr w:type="spellStart"/>
      <w:r>
        <w:t>Oʻahu</w:t>
      </w:r>
      <w:proofErr w:type="spellEnd"/>
      <w:r>
        <w:t xml:space="preserve"> </w:t>
      </w:r>
      <w:proofErr w:type="spellStart"/>
      <w:r>
        <w:t>AnchorPoint</w:t>
      </w:r>
      <w:proofErr w:type="spellEnd"/>
      <w:r>
        <w:t xml:space="preserve"> response.</w:t>
      </w:r>
    </w:p>
    <w:p w14:paraId="6AFBF37D" w14:textId="77777777" w:rsidR="00F34BEC" w:rsidRDefault="00F34BEC">
      <w:pPr>
        <w:pStyle w:val="NormalWeb"/>
        <w:numPr>
          <w:ilvl w:val="0"/>
          <w:numId w:val="10"/>
        </w:numPr>
      </w:pPr>
      <w:r>
        <w:t>Approximately 100 student backpacks prepared through the Winnie the Pooh Meets Kindness initiative, with hundreds distributed through the broader initiative.</w:t>
      </w:r>
    </w:p>
    <w:p w14:paraId="5EB8F187" w14:textId="77777777" w:rsidR="00F34BEC" w:rsidRDefault="00F34BEC">
      <w:pPr>
        <w:pStyle w:val="NormalWeb"/>
        <w:numPr>
          <w:ilvl w:val="0"/>
          <w:numId w:val="10"/>
        </w:numPr>
      </w:pPr>
      <w:r>
        <w:t>A $100 direct contribution and ten hours of pro bono mental-health services associated with the Tulsa family response.</w:t>
      </w:r>
    </w:p>
    <w:p w14:paraId="7816B044" w14:textId="77777777" w:rsidR="00F34BEC" w:rsidRDefault="00F34BEC">
      <w:pPr>
        <w:pStyle w:val="NormalWeb"/>
        <w:numPr>
          <w:ilvl w:val="0"/>
          <w:numId w:val="10"/>
        </w:numPr>
      </w:pPr>
      <w:r>
        <w:t>Continuing national crisis-response and family-support work.</w:t>
      </w:r>
    </w:p>
    <w:p w14:paraId="197513F2" w14:textId="77777777" w:rsidR="00F34BEC" w:rsidRDefault="00F34BEC">
      <w:pPr>
        <w:pStyle w:val="NormalWeb"/>
        <w:numPr>
          <w:ilvl w:val="0"/>
          <w:numId w:val="10"/>
        </w:numPr>
      </w:pPr>
      <w:r>
        <w:t>Scholarship commitments exceeding $24,500.</w:t>
      </w:r>
    </w:p>
    <w:p w14:paraId="3B8AEC54" w14:textId="77777777" w:rsidR="00F34BEC" w:rsidRDefault="00F34BEC">
      <w:pPr>
        <w:pStyle w:val="NormalWeb"/>
        <w:numPr>
          <w:ilvl w:val="0"/>
          <w:numId w:val="10"/>
        </w:numPr>
      </w:pPr>
      <w:r>
        <w:t>Memorial and prevention initiatives.</w:t>
      </w:r>
    </w:p>
    <w:p w14:paraId="5B991BF2" w14:textId="77777777" w:rsidR="00F34BEC" w:rsidRDefault="00F34BEC">
      <w:pPr>
        <w:pStyle w:val="NormalWeb"/>
        <w:numPr>
          <w:ilvl w:val="0"/>
          <w:numId w:val="10"/>
        </w:numPr>
      </w:pPr>
      <w:r>
        <w:t>The reported Bend campaign distribution of $16,232 to more than 36 families, pending final campaign-ledger reconciliation.</w:t>
      </w:r>
    </w:p>
    <w:p w14:paraId="1BD1ED0E" w14:textId="77777777" w:rsidR="00F34BEC" w:rsidRDefault="00F34BEC">
      <w:pPr>
        <w:pStyle w:val="NormalWeb"/>
      </w:pPr>
      <w:r>
        <w:t>These examples demonstrate the range of the Foundation’s work. They do not represent a verified unduplicated count of all beneficiaries served since 2022.</w:t>
      </w:r>
    </w:p>
    <w:p w14:paraId="5F7FF944" w14:textId="77777777" w:rsidR="00F34BEC" w:rsidRDefault="00F34BEC">
      <w:pPr>
        <w:pStyle w:val="Heading2"/>
        <w:rPr>
          <w:rFonts w:eastAsia="Times New Roman"/>
        </w:rPr>
      </w:pPr>
      <w:r>
        <w:rPr>
          <w:rFonts w:eastAsia="Times New Roman"/>
        </w:rPr>
        <w:t>Professional and Volunteer Services</w:t>
      </w:r>
    </w:p>
    <w:p w14:paraId="4B8A94F9" w14:textId="77777777" w:rsidR="00F34BEC" w:rsidRDefault="00F34BEC">
      <w:pPr>
        <w:pStyle w:val="NormalWeb"/>
      </w:pPr>
      <w:r>
        <w:t>The September report documented 67 professional pro bono hours, valued at more than $13,400 using the report’s approximate valuation method.</w:t>
      </w:r>
    </w:p>
    <w:p w14:paraId="1E81E42F" w14:textId="77777777" w:rsidR="00F34BEC" w:rsidRDefault="00F34BEC">
      <w:pPr>
        <w:pStyle w:val="NormalWeb"/>
      </w:pPr>
      <w:r>
        <w:t>A later working snapshot indicated approximately 116 cumulative pro bono hours, valued at more than $23,200.</w:t>
      </w:r>
    </w:p>
    <w:p w14:paraId="781B9CBD" w14:textId="77777777" w:rsidR="00F34BEC" w:rsidRDefault="00F34BEC">
      <w:pPr>
        <w:pStyle w:val="NormalWeb"/>
      </w:pPr>
      <w:r>
        <w:t>These figures require reconciliation against the service logs before being represented as final cumulative totals. Their estimated service value should not be treated as cash raised or available.</w:t>
      </w:r>
    </w:p>
    <w:p w14:paraId="5658EB4E" w14:textId="77777777" w:rsidR="00F34BEC" w:rsidRDefault="00F34BEC">
      <w:pPr>
        <w:pStyle w:val="NormalWeb"/>
      </w:pPr>
      <w:r>
        <w:t>The Foundation should continue tracking:</w:t>
      </w:r>
    </w:p>
    <w:p w14:paraId="2C47F7B6" w14:textId="77777777" w:rsidR="00F34BEC" w:rsidRDefault="00F34BEC">
      <w:pPr>
        <w:pStyle w:val="NormalWeb"/>
        <w:numPr>
          <w:ilvl w:val="0"/>
          <w:numId w:val="11"/>
        </w:numPr>
      </w:pPr>
      <w:r>
        <w:t>Hours by activity and reporting period.</w:t>
      </w:r>
    </w:p>
    <w:p w14:paraId="5FF6DBEE" w14:textId="77777777" w:rsidR="00F34BEC" w:rsidRDefault="00F34BEC">
      <w:pPr>
        <w:pStyle w:val="NormalWeb"/>
        <w:numPr>
          <w:ilvl w:val="0"/>
          <w:numId w:val="11"/>
        </w:numPr>
      </w:pPr>
      <w:r>
        <w:t>Professional services separately from general volunteer time.</w:t>
      </w:r>
    </w:p>
    <w:p w14:paraId="1C6018FF" w14:textId="77777777" w:rsidR="00F34BEC" w:rsidRDefault="00F34BEC">
      <w:pPr>
        <w:pStyle w:val="NormalWeb"/>
        <w:numPr>
          <w:ilvl w:val="0"/>
          <w:numId w:val="11"/>
        </w:numPr>
      </w:pPr>
      <w:r>
        <w:t>Estimated service value and the valuation method used.</w:t>
      </w:r>
    </w:p>
    <w:p w14:paraId="2DABB8D1" w14:textId="77777777" w:rsidR="00F34BEC" w:rsidRDefault="00F34BEC">
      <w:pPr>
        <w:pStyle w:val="NormalWeb"/>
        <w:numPr>
          <w:ilvl w:val="0"/>
          <w:numId w:val="11"/>
        </w:numPr>
      </w:pPr>
      <w:r>
        <w:t>Direct assistance and campaign distributions.</w:t>
      </w:r>
    </w:p>
    <w:p w14:paraId="2FDDFD06" w14:textId="77777777" w:rsidR="00F34BEC" w:rsidRDefault="00F34BEC">
      <w:pPr>
        <w:pStyle w:val="NormalWeb"/>
        <w:numPr>
          <w:ilvl w:val="0"/>
          <w:numId w:val="11"/>
        </w:numPr>
      </w:pPr>
      <w:r>
        <w:t>Unique beneficiaries where records support reliable unduplicated counts.</w:t>
      </w:r>
    </w:p>
    <w:p w14:paraId="72409383" w14:textId="77777777" w:rsidR="00F34BEC" w:rsidRDefault="00F34BEC">
      <w:pPr>
        <w:pStyle w:val="NormalWeb"/>
        <w:numPr>
          <w:ilvl w:val="0"/>
          <w:numId w:val="11"/>
        </w:numPr>
      </w:pPr>
      <w:r>
        <w:t>Scholarship commitments separately from amounts received or disbursed.</w:t>
      </w:r>
    </w:p>
    <w:p w14:paraId="3267FB9B" w14:textId="77777777" w:rsidR="00F34BEC" w:rsidRDefault="00F34BEC">
      <w:pPr>
        <w:pStyle w:val="NormalWeb"/>
      </w:pPr>
      <w:r>
        <w:t>This approach will strengthen future annual reports and improve the credibility of the Foundation’s impact measurement.</w:t>
      </w:r>
    </w:p>
    <w:p w14:paraId="5A2C3C41" w14:textId="77777777" w:rsidR="00F34BEC" w:rsidRDefault="00F34BEC">
      <w:pPr>
        <w:rPr>
          <w:rFonts w:eastAsia="Times New Roman"/>
        </w:rPr>
      </w:pPr>
      <w:r>
        <w:rPr>
          <w:rFonts w:eastAsia="Times New Roman"/>
          <w:noProof/>
        </w:rPr>
        <mc:AlternateContent>
          <mc:Choice Requires="wps">
            <w:drawing>
              <wp:inline distT="0" distB="0" distL="0" distR="0" wp14:anchorId="110102DA" wp14:editId="6ED72D20">
                <wp:extent cx="5943600" cy="1270"/>
                <wp:effectExtent l="0" t="31750" r="0" b="36830"/>
                <wp:docPr id="194615865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4D2A5C7"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E10665F" w14:textId="77777777" w:rsidR="00F34BEC" w:rsidRDefault="00F34BEC">
      <w:pPr>
        <w:pStyle w:val="Heading1"/>
        <w:rPr>
          <w:rFonts w:eastAsia="Times New Roman"/>
        </w:rPr>
      </w:pPr>
      <w:r>
        <w:rPr>
          <w:rFonts w:eastAsia="Times New Roman"/>
        </w:rPr>
        <w:t>7. GOVERNANCE, TRANSPARENCY, AND ACCOUNTABILITY</w:t>
      </w:r>
    </w:p>
    <w:p w14:paraId="063445C6" w14:textId="77777777" w:rsidR="00F34BEC" w:rsidRDefault="00F34BEC">
      <w:pPr>
        <w:pStyle w:val="NormalWeb"/>
      </w:pPr>
      <w:r>
        <w:t>The Foundation has publicly acknowledged that clearer communications, more complete financial disclosure, and stronger governance practices are important to public trust.</w:t>
      </w:r>
    </w:p>
    <w:p w14:paraId="1E6568C4" w14:textId="77777777" w:rsidR="00F34BEC" w:rsidRDefault="00F34BEC">
      <w:pPr>
        <w:pStyle w:val="NormalWeb"/>
      </w:pPr>
      <w:r>
        <w:t>Its 2025 announcements described a commitment to enhanced financial transparency, clearer program definitions, and stronger organizational oversight.</w:t>
      </w:r>
    </w:p>
    <w:p w14:paraId="3370E4A5" w14:textId="77777777" w:rsidR="00F34BEC" w:rsidRDefault="00F34BEC">
      <w:pPr>
        <w:pStyle w:val="NormalWeb"/>
      </w:pPr>
      <w:r>
        <w:t>The Foundation’s financial page provides access to organizational documents and reporting resources, including its conflict-of-interest policy, incorporation documents, IRS filing resources, and financial reports.</w:t>
      </w:r>
    </w:p>
    <w:p w14:paraId="0D0065B0" w14:textId="77777777" w:rsidR="00F34BEC" w:rsidRDefault="00F34BEC">
      <w:pPr>
        <w:pStyle w:val="NormalWeb"/>
      </w:pPr>
      <w:r>
        <w:t>The organization has also stated that its services and outreach are offered without requiring a donation in exchange.</w:t>
      </w:r>
    </w:p>
    <w:p w14:paraId="6349B8F3" w14:textId="77777777" w:rsidR="00F34BEC" w:rsidRDefault="00F34BEC">
      <w:pPr>
        <w:pStyle w:val="NormalWeb"/>
      </w:pPr>
      <w:r>
        <w:t>The Board’s continuing responsibilities include:</w:t>
      </w:r>
    </w:p>
    <w:p w14:paraId="1E491BF8" w14:textId="77777777" w:rsidR="00F34BEC" w:rsidRDefault="00F34BEC">
      <w:pPr>
        <w:pStyle w:val="NormalWeb"/>
        <w:numPr>
          <w:ilvl w:val="0"/>
          <w:numId w:val="12"/>
        </w:numPr>
      </w:pPr>
      <w:r>
        <w:t>Oversight of financial reporting and restricted funds.</w:t>
      </w:r>
    </w:p>
    <w:p w14:paraId="75C2BCD3" w14:textId="77777777" w:rsidR="00F34BEC" w:rsidRDefault="00F34BEC">
      <w:pPr>
        <w:pStyle w:val="NormalWeb"/>
        <w:numPr>
          <w:ilvl w:val="0"/>
          <w:numId w:val="12"/>
        </w:numPr>
      </w:pPr>
      <w:r>
        <w:t>Review of fundraising and expenditure records.</w:t>
      </w:r>
    </w:p>
    <w:p w14:paraId="4AD2F2A6" w14:textId="77777777" w:rsidR="00F34BEC" w:rsidRDefault="00F34BEC">
      <w:pPr>
        <w:pStyle w:val="NormalWeb"/>
        <w:numPr>
          <w:ilvl w:val="0"/>
          <w:numId w:val="12"/>
        </w:numPr>
      </w:pPr>
      <w:r>
        <w:t>Clear distinction between completed work and proposed initiatives.</w:t>
      </w:r>
    </w:p>
    <w:p w14:paraId="19B397DC" w14:textId="77777777" w:rsidR="00F34BEC" w:rsidRDefault="00F34BEC">
      <w:pPr>
        <w:pStyle w:val="NormalWeb"/>
        <w:numPr>
          <w:ilvl w:val="0"/>
          <w:numId w:val="12"/>
        </w:numPr>
      </w:pPr>
      <w:r>
        <w:t>Appropriate documentation of campaign receipts and distributions.</w:t>
      </w:r>
    </w:p>
    <w:p w14:paraId="19D58653" w14:textId="77777777" w:rsidR="00F34BEC" w:rsidRDefault="00F34BEC">
      <w:pPr>
        <w:pStyle w:val="NormalWeb"/>
        <w:numPr>
          <w:ilvl w:val="0"/>
          <w:numId w:val="12"/>
        </w:numPr>
      </w:pPr>
      <w:r>
        <w:t>Consistent reporting of professional and volunteer services.</w:t>
      </w:r>
    </w:p>
    <w:p w14:paraId="2F8EE8DB" w14:textId="77777777" w:rsidR="00F34BEC" w:rsidRDefault="00F34BEC">
      <w:pPr>
        <w:pStyle w:val="NormalWeb"/>
        <w:numPr>
          <w:ilvl w:val="0"/>
          <w:numId w:val="12"/>
        </w:numPr>
      </w:pPr>
      <w:r>
        <w:t>Safeguarding the privacy of families and young people receiving support.</w:t>
      </w:r>
    </w:p>
    <w:p w14:paraId="1887F712" w14:textId="77777777" w:rsidR="00F34BEC" w:rsidRDefault="00F34BEC">
      <w:pPr>
        <w:pStyle w:val="NormalWeb"/>
        <w:numPr>
          <w:ilvl w:val="0"/>
          <w:numId w:val="12"/>
        </w:numPr>
      </w:pPr>
      <w:r>
        <w:t>Clear communication about program eligibility and available resources.</w:t>
      </w:r>
    </w:p>
    <w:p w14:paraId="331E3B64" w14:textId="77777777" w:rsidR="00F34BEC" w:rsidRDefault="00F34BEC">
      <w:pPr>
        <w:pStyle w:val="NormalWeb"/>
        <w:numPr>
          <w:ilvl w:val="0"/>
          <w:numId w:val="12"/>
        </w:numPr>
      </w:pPr>
      <w:r>
        <w:t>Monitoring the sustainability of the organization’s operating model.</w:t>
      </w:r>
    </w:p>
    <w:p w14:paraId="29D93A9B" w14:textId="77777777" w:rsidR="00F34BEC" w:rsidRDefault="00F34BEC">
      <w:pPr>
        <w:pStyle w:val="NormalWeb"/>
      </w:pPr>
      <w:r>
        <w:t>Public trust is strengthened when the Foundation’s descriptions of its work are supported by records and when its financial statements clearly explain both achievements and limitations.</w:t>
      </w:r>
    </w:p>
    <w:p w14:paraId="0DAA0688" w14:textId="77777777" w:rsidR="00F34BEC" w:rsidRDefault="00F34BEC">
      <w:pPr>
        <w:rPr>
          <w:rFonts w:eastAsia="Times New Roman"/>
        </w:rPr>
      </w:pPr>
      <w:r>
        <w:rPr>
          <w:rFonts w:eastAsia="Times New Roman"/>
          <w:noProof/>
        </w:rPr>
        <mc:AlternateContent>
          <mc:Choice Requires="wps">
            <w:drawing>
              <wp:inline distT="0" distB="0" distL="0" distR="0" wp14:anchorId="4FEB0CDA" wp14:editId="0758D427">
                <wp:extent cx="5943600" cy="1270"/>
                <wp:effectExtent l="0" t="31750" r="0" b="36830"/>
                <wp:docPr id="306973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E22B2BE"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EC9480D" w14:textId="77777777" w:rsidR="00F34BEC" w:rsidRDefault="00F34BEC">
      <w:pPr>
        <w:pStyle w:val="Heading1"/>
        <w:rPr>
          <w:rFonts w:eastAsia="Times New Roman"/>
        </w:rPr>
      </w:pPr>
      <w:r>
        <w:rPr>
          <w:rFonts w:eastAsia="Times New Roman"/>
        </w:rPr>
        <w:t>8. ORGANIZATIONAL STRENGTHS AND CHALLENGES</w:t>
      </w:r>
    </w:p>
    <w:p w14:paraId="1ADE00DA" w14:textId="77777777" w:rsidR="00F34BEC" w:rsidRDefault="00F34BEC">
      <w:pPr>
        <w:pStyle w:val="Heading2"/>
        <w:rPr>
          <w:rFonts w:eastAsia="Times New Roman"/>
        </w:rPr>
      </w:pPr>
      <w:r>
        <w:rPr>
          <w:rFonts w:eastAsia="Times New Roman"/>
        </w:rPr>
        <w:t>Strengths</w:t>
      </w:r>
    </w:p>
    <w:p w14:paraId="51D374C6" w14:textId="77777777" w:rsidR="00F34BEC" w:rsidRDefault="00F34BEC">
      <w:pPr>
        <w:pStyle w:val="NormalWeb"/>
      </w:pPr>
      <w:r>
        <w:t>The Foundation’s principal strengths include:</w:t>
      </w:r>
    </w:p>
    <w:p w14:paraId="3833B802" w14:textId="77777777" w:rsidR="00F34BEC" w:rsidRDefault="00F34BEC">
      <w:pPr>
        <w:pStyle w:val="NormalWeb"/>
        <w:numPr>
          <w:ilvl w:val="0"/>
          <w:numId w:val="13"/>
        </w:numPr>
      </w:pPr>
      <w:r>
        <w:t>A mission rooted in the response to the 2022 Uvalde tragedy.</w:t>
      </w:r>
    </w:p>
    <w:p w14:paraId="3326E3AB" w14:textId="77777777" w:rsidR="00F34BEC" w:rsidRDefault="00F34BEC">
      <w:pPr>
        <w:pStyle w:val="NormalWeb"/>
        <w:numPr>
          <w:ilvl w:val="0"/>
          <w:numId w:val="13"/>
        </w:numPr>
      </w:pPr>
      <w:r>
        <w:t>A national focus on youth safety, violence prevention, advocacy, and crisis response.</w:t>
      </w:r>
    </w:p>
    <w:p w14:paraId="75F8E0C6" w14:textId="77777777" w:rsidR="00F34BEC" w:rsidRDefault="00F34BEC">
      <w:pPr>
        <w:pStyle w:val="NormalWeb"/>
        <w:numPr>
          <w:ilvl w:val="0"/>
          <w:numId w:val="13"/>
        </w:numPr>
      </w:pPr>
      <w:r>
        <w:t>Experience coordinating emergency assistance and community support.</w:t>
      </w:r>
    </w:p>
    <w:p w14:paraId="67D3FAF9" w14:textId="77777777" w:rsidR="00F34BEC" w:rsidRDefault="00F34BEC">
      <w:pPr>
        <w:pStyle w:val="NormalWeb"/>
        <w:numPr>
          <w:ilvl w:val="0"/>
          <w:numId w:val="13"/>
        </w:numPr>
      </w:pPr>
      <w:r>
        <w:t>A decentralized model intended to bring services closer to the communities served.</w:t>
      </w:r>
    </w:p>
    <w:p w14:paraId="4A5003A4" w14:textId="77777777" w:rsidR="00F34BEC" w:rsidRDefault="00F34BEC">
      <w:pPr>
        <w:pStyle w:val="NormalWeb"/>
        <w:numPr>
          <w:ilvl w:val="0"/>
          <w:numId w:val="13"/>
        </w:numPr>
      </w:pPr>
      <w:r>
        <w:t>Professional and volunteer contributions that expand mission capacity.</w:t>
      </w:r>
    </w:p>
    <w:p w14:paraId="7AA8749B" w14:textId="77777777" w:rsidR="00F34BEC" w:rsidRDefault="00F34BEC">
      <w:pPr>
        <w:pStyle w:val="NormalWeb"/>
        <w:numPr>
          <w:ilvl w:val="0"/>
          <w:numId w:val="13"/>
        </w:numPr>
      </w:pPr>
      <w:r>
        <w:t xml:space="preserve">Continuing development of </w:t>
      </w:r>
      <w:proofErr w:type="spellStart"/>
      <w:r>
        <w:t>AnchorPoint</w:t>
      </w:r>
      <w:proofErr w:type="spellEnd"/>
      <w:r>
        <w:t xml:space="preserve"> Safe Houses, Trees for Peace, scholarships, and youth-support programs.</w:t>
      </w:r>
    </w:p>
    <w:p w14:paraId="2B8E49D5" w14:textId="77777777" w:rsidR="00F34BEC" w:rsidRDefault="00F34BEC">
      <w:pPr>
        <w:pStyle w:val="NormalWeb"/>
        <w:numPr>
          <w:ilvl w:val="0"/>
          <w:numId w:val="13"/>
        </w:numPr>
      </w:pPr>
      <w:r>
        <w:t>A public financial transparency page with historical filings and monthly reporting resources.</w:t>
      </w:r>
    </w:p>
    <w:p w14:paraId="0CB33D09" w14:textId="77777777" w:rsidR="00F34BEC" w:rsidRDefault="00F34BEC">
      <w:pPr>
        <w:pStyle w:val="NormalWeb"/>
        <w:numPr>
          <w:ilvl w:val="0"/>
          <w:numId w:val="13"/>
        </w:numPr>
      </w:pPr>
      <w:r>
        <w:t>A reported debt-free financial position.</w:t>
      </w:r>
    </w:p>
    <w:p w14:paraId="53392EC7" w14:textId="77777777" w:rsidR="00F34BEC" w:rsidRDefault="00F34BEC">
      <w:pPr>
        <w:pStyle w:val="NormalWeb"/>
        <w:numPr>
          <w:ilvl w:val="0"/>
          <w:numId w:val="13"/>
        </w:numPr>
      </w:pPr>
      <w:r>
        <w:t>A commitment to separating restricted and unrestricted funds.</w:t>
      </w:r>
    </w:p>
    <w:p w14:paraId="53C45E16" w14:textId="77777777" w:rsidR="00F34BEC" w:rsidRDefault="00F34BEC">
      <w:pPr>
        <w:pStyle w:val="NormalWeb"/>
        <w:numPr>
          <w:ilvl w:val="0"/>
          <w:numId w:val="13"/>
        </w:numPr>
      </w:pPr>
      <w:r>
        <w:t>A willingness to identify financial challenges openly.</w:t>
      </w:r>
    </w:p>
    <w:p w14:paraId="2F5A4B02" w14:textId="77777777" w:rsidR="00F34BEC" w:rsidRDefault="00F34BEC">
      <w:pPr>
        <w:pStyle w:val="Heading2"/>
        <w:rPr>
          <w:rFonts w:eastAsia="Times New Roman"/>
        </w:rPr>
      </w:pPr>
      <w:r>
        <w:rPr>
          <w:rFonts w:eastAsia="Times New Roman"/>
        </w:rPr>
        <w:t>Challenges</w:t>
      </w:r>
    </w:p>
    <w:p w14:paraId="35FC5D79" w14:textId="77777777" w:rsidR="00F34BEC" w:rsidRDefault="00F34BEC">
      <w:pPr>
        <w:pStyle w:val="NormalWeb"/>
      </w:pPr>
      <w:r>
        <w:t>The Foundation’s principal challenges include:</w:t>
      </w:r>
    </w:p>
    <w:p w14:paraId="2D9ACB51" w14:textId="77777777" w:rsidR="00F34BEC" w:rsidRDefault="00F34BEC">
      <w:pPr>
        <w:pStyle w:val="NormalWeb"/>
        <w:numPr>
          <w:ilvl w:val="0"/>
          <w:numId w:val="14"/>
        </w:numPr>
      </w:pPr>
      <w:r>
        <w:t>Critically low unrestricted cash in October 2026.</w:t>
      </w:r>
    </w:p>
    <w:p w14:paraId="2676AC88" w14:textId="77777777" w:rsidR="00F34BEC" w:rsidRDefault="00F34BEC">
      <w:pPr>
        <w:pStyle w:val="NormalWeb"/>
        <w:numPr>
          <w:ilvl w:val="0"/>
          <w:numId w:val="14"/>
        </w:numPr>
      </w:pPr>
      <w:r>
        <w:t>Dependence on recurring donations and external charitable support.</w:t>
      </w:r>
    </w:p>
    <w:p w14:paraId="31C5A989" w14:textId="77777777" w:rsidR="00F34BEC" w:rsidRDefault="00F34BEC">
      <w:pPr>
        <w:pStyle w:val="NormalWeb"/>
        <w:numPr>
          <w:ilvl w:val="0"/>
          <w:numId w:val="14"/>
        </w:numPr>
      </w:pPr>
      <w:r>
        <w:t>The need to expand unrestricted fundraising and institutional partnerships.</w:t>
      </w:r>
    </w:p>
    <w:p w14:paraId="0705B53B" w14:textId="77777777" w:rsidR="00F34BEC" w:rsidRDefault="00F34BEC">
      <w:pPr>
        <w:pStyle w:val="NormalWeb"/>
        <w:numPr>
          <w:ilvl w:val="0"/>
          <w:numId w:val="14"/>
        </w:numPr>
      </w:pPr>
      <w:r>
        <w:t>The need to reconcile individual restricted-fund balances following the September adjustment.</w:t>
      </w:r>
    </w:p>
    <w:p w14:paraId="01063E5A" w14:textId="77777777" w:rsidR="00F34BEC" w:rsidRDefault="00F34BEC">
      <w:pPr>
        <w:pStyle w:val="NormalWeb"/>
        <w:numPr>
          <w:ilvl w:val="0"/>
          <w:numId w:val="14"/>
        </w:numPr>
      </w:pPr>
      <w:r>
        <w:t>The need to maintain documentation for Founder-paid expenses.</w:t>
      </w:r>
    </w:p>
    <w:p w14:paraId="6792B2B9" w14:textId="77777777" w:rsidR="00F34BEC" w:rsidRDefault="00F34BEC">
      <w:pPr>
        <w:pStyle w:val="NormalWeb"/>
        <w:numPr>
          <w:ilvl w:val="0"/>
          <w:numId w:val="14"/>
        </w:numPr>
      </w:pPr>
      <w:r>
        <w:t>The need to reconcile mission hours, professional-service estimates, scholarship commitments, and campaign distributions.</w:t>
      </w:r>
    </w:p>
    <w:p w14:paraId="01DF4D9C" w14:textId="77777777" w:rsidR="00F34BEC" w:rsidRDefault="00F34BEC">
      <w:pPr>
        <w:pStyle w:val="NormalWeb"/>
        <w:numPr>
          <w:ilvl w:val="0"/>
          <w:numId w:val="14"/>
        </w:numPr>
      </w:pPr>
      <w:r>
        <w:t>The challenge of expanding national response capacity without taking on unsustainable fixed costs.</w:t>
      </w:r>
    </w:p>
    <w:p w14:paraId="6EB115E9" w14:textId="77777777" w:rsidR="00F34BEC" w:rsidRDefault="00F34BEC">
      <w:pPr>
        <w:pStyle w:val="NormalWeb"/>
      </w:pPr>
      <w:r>
        <w:t>The Foundation’s ability to continue responding to urgent needs will depend on strengthening its financial base while maintaining clear priorities and disciplined reporting.</w:t>
      </w:r>
    </w:p>
    <w:p w14:paraId="1AA28D5A" w14:textId="77777777" w:rsidR="00F34BEC" w:rsidRDefault="00F34BEC">
      <w:pPr>
        <w:rPr>
          <w:rFonts w:eastAsia="Times New Roman"/>
        </w:rPr>
      </w:pPr>
      <w:r>
        <w:rPr>
          <w:rFonts w:eastAsia="Times New Roman"/>
          <w:noProof/>
        </w:rPr>
        <mc:AlternateContent>
          <mc:Choice Requires="wps">
            <w:drawing>
              <wp:inline distT="0" distB="0" distL="0" distR="0" wp14:anchorId="75CF7E2F" wp14:editId="3428BCBF">
                <wp:extent cx="5943600" cy="1270"/>
                <wp:effectExtent l="0" t="31750" r="0" b="36830"/>
                <wp:docPr id="73395894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88E7EF9"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91569EB" w14:textId="77777777" w:rsidR="00F34BEC" w:rsidRDefault="00F34BEC">
      <w:pPr>
        <w:pStyle w:val="Heading1"/>
        <w:rPr>
          <w:rFonts w:eastAsia="Times New Roman"/>
        </w:rPr>
      </w:pPr>
      <w:r>
        <w:rPr>
          <w:rFonts w:eastAsia="Times New Roman"/>
        </w:rPr>
        <w:t>9. PRIORITIES FOR 2027 AND BEYOND</w:t>
      </w:r>
    </w:p>
    <w:p w14:paraId="758D4D5C" w14:textId="77777777" w:rsidR="00F34BEC" w:rsidRDefault="00F34BEC">
      <w:pPr>
        <w:pStyle w:val="Heading2"/>
        <w:rPr>
          <w:rFonts w:eastAsia="Times New Roman"/>
        </w:rPr>
      </w:pPr>
      <w:r>
        <w:rPr>
          <w:rFonts w:eastAsia="Times New Roman"/>
        </w:rPr>
        <w:t>Financial Sustainability</w:t>
      </w:r>
    </w:p>
    <w:p w14:paraId="48DDBF54" w14:textId="77777777" w:rsidR="00F34BEC" w:rsidRDefault="00F34BEC">
      <w:pPr>
        <w:pStyle w:val="NormalWeb"/>
        <w:numPr>
          <w:ilvl w:val="0"/>
          <w:numId w:val="15"/>
        </w:numPr>
      </w:pPr>
      <w:r>
        <w:t>Increase recurring unrestricted contributions.</w:t>
      </w:r>
    </w:p>
    <w:p w14:paraId="7E01CB8F" w14:textId="77777777" w:rsidR="00F34BEC" w:rsidRDefault="00F34BEC">
      <w:pPr>
        <w:pStyle w:val="NormalWeb"/>
        <w:numPr>
          <w:ilvl w:val="0"/>
          <w:numId w:val="15"/>
        </w:numPr>
      </w:pPr>
      <w:r>
        <w:t>Expand donor relationships and corporate partnerships.</w:t>
      </w:r>
    </w:p>
    <w:p w14:paraId="25EB292F" w14:textId="77777777" w:rsidR="00F34BEC" w:rsidRDefault="00F34BEC">
      <w:pPr>
        <w:pStyle w:val="NormalWeb"/>
        <w:numPr>
          <w:ilvl w:val="0"/>
          <w:numId w:val="15"/>
        </w:numPr>
      </w:pPr>
      <w:r>
        <w:t>Pursue appropriate private foundation and institutional funding.</w:t>
      </w:r>
    </w:p>
    <w:p w14:paraId="4997A9B2" w14:textId="77777777" w:rsidR="00F34BEC" w:rsidRDefault="00F34BEC">
      <w:pPr>
        <w:pStyle w:val="NormalWeb"/>
        <w:numPr>
          <w:ilvl w:val="0"/>
          <w:numId w:val="15"/>
        </w:numPr>
      </w:pPr>
      <w:r>
        <w:t>Build toward a minimum three-month unrestricted operating reserve.</w:t>
      </w:r>
    </w:p>
    <w:p w14:paraId="5A55DF4A" w14:textId="77777777" w:rsidR="00F34BEC" w:rsidRDefault="00F34BEC">
      <w:pPr>
        <w:pStyle w:val="NormalWeb"/>
        <w:numPr>
          <w:ilvl w:val="0"/>
          <w:numId w:val="15"/>
        </w:numPr>
      </w:pPr>
      <w:r>
        <w:t>Work toward a six-month reserve as resources permit.</w:t>
      </w:r>
    </w:p>
    <w:p w14:paraId="2B63FA9E" w14:textId="77777777" w:rsidR="00F34BEC" w:rsidRDefault="00F34BEC">
      <w:pPr>
        <w:pStyle w:val="NormalWeb"/>
        <w:numPr>
          <w:ilvl w:val="0"/>
          <w:numId w:val="15"/>
        </w:numPr>
      </w:pPr>
      <w:r>
        <w:t>Continue monthly financial reconciliation and transparent reporting.</w:t>
      </w:r>
    </w:p>
    <w:p w14:paraId="359245FB" w14:textId="77777777" w:rsidR="00F34BEC" w:rsidRDefault="00F34BEC">
      <w:pPr>
        <w:pStyle w:val="NormalWeb"/>
        <w:numPr>
          <w:ilvl w:val="0"/>
          <w:numId w:val="15"/>
        </w:numPr>
      </w:pPr>
      <w:r>
        <w:t>Reduce avoidable operating costs and payment fees.</w:t>
      </w:r>
    </w:p>
    <w:p w14:paraId="47938C12" w14:textId="77777777" w:rsidR="00F34BEC" w:rsidRDefault="00F34BEC">
      <w:pPr>
        <w:pStyle w:val="NormalWeb"/>
        <w:numPr>
          <w:ilvl w:val="0"/>
          <w:numId w:val="15"/>
        </w:numPr>
      </w:pPr>
      <w:r>
        <w:t>Maintain clear documentation of Founder-paid and sponsor-covered expenses.</w:t>
      </w:r>
    </w:p>
    <w:p w14:paraId="027158DF" w14:textId="77777777" w:rsidR="00F34BEC" w:rsidRDefault="00F34BEC">
      <w:pPr>
        <w:pStyle w:val="Heading2"/>
        <w:rPr>
          <w:rFonts w:eastAsia="Times New Roman"/>
        </w:rPr>
      </w:pPr>
      <w:r>
        <w:rPr>
          <w:rFonts w:eastAsia="Times New Roman"/>
        </w:rPr>
        <w:t>Program Development</w:t>
      </w:r>
    </w:p>
    <w:p w14:paraId="516B1DAE" w14:textId="77777777" w:rsidR="00F34BEC" w:rsidRDefault="00F34BEC">
      <w:pPr>
        <w:pStyle w:val="NormalWeb"/>
        <w:numPr>
          <w:ilvl w:val="0"/>
          <w:numId w:val="16"/>
        </w:numPr>
      </w:pPr>
      <w:r>
        <w:t>Continue the National Gun Violence Response program.</w:t>
      </w:r>
    </w:p>
    <w:p w14:paraId="155E7EAC" w14:textId="77777777" w:rsidR="00F34BEC" w:rsidRDefault="00F34BEC">
      <w:pPr>
        <w:pStyle w:val="NormalWeb"/>
        <w:numPr>
          <w:ilvl w:val="0"/>
          <w:numId w:val="16"/>
        </w:numPr>
      </w:pPr>
      <w:r>
        <w:t>Strengthen Community Crisis Response and family-support coordination.</w:t>
      </w:r>
    </w:p>
    <w:p w14:paraId="652E4A86" w14:textId="77777777" w:rsidR="00F34BEC" w:rsidRDefault="00F34BEC">
      <w:pPr>
        <w:pStyle w:val="NormalWeb"/>
        <w:numPr>
          <w:ilvl w:val="0"/>
          <w:numId w:val="16"/>
        </w:numPr>
      </w:pPr>
      <w:r>
        <w:t xml:space="preserve">Develop </w:t>
      </w:r>
      <w:proofErr w:type="spellStart"/>
      <w:r>
        <w:t>AnchorPoint</w:t>
      </w:r>
      <w:proofErr w:type="spellEnd"/>
      <w:r>
        <w:t xml:space="preserve"> Safe House capacity in accordance with safety requirements and available resources.</w:t>
      </w:r>
    </w:p>
    <w:p w14:paraId="3BEDDFCE" w14:textId="77777777" w:rsidR="00F34BEC" w:rsidRDefault="00F34BEC">
      <w:pPr>
        <w:pStyle w:val="NormalWeb"/>
        <w:numPr>
          <w:ilvl w:val="0"/>
          <w:numId w:val="16"/>
        </w:numPr>
      </w:pPr>
      <w:r>
        <w:t>Continue bullying prevention and youth-safety work.</w:t>
      </w:r>
    </w:p>
    <w:p w14:paraId="2FAFB59B" w14:textId="77777777" w:rsidR="00F34BEC" w:rsidRDefault="00F34BEC">
      <w:pPr>
        <w:pStyle w:val="NormalWeb"/>
        <w:numPr>
          <w:ilvl w:val="0"/>
          <w:numId w:val="16"/>
        </w:numPr>
      </w:pPr>
      <w:r>
        <w:t>Expand scholarship fundraising and sustainable award funding.</w:t>
      </w:r>
    </w:p>
    <w:p w14:paraId="02D6D800" w14:textId="77777777" w:rsidR="00F34BEC" w:rsidRDefault="00F34BEC">
      <w:pPr>
        <w:pStyle w:val="NormalWeb"/>
        <w:numPr>
          <w:ilvl w:val="0"/>
          <w:numId w:val="16"/>
        </w:numPr>
      </w:pPr>
      <w:r>
        <w:t>Continue Trees for Peace and memorial initiatives.</w:t>
      </w:r>
    </w:p>
    <w:p w14:paraId="07291F91" w14:textId="77777777" w:rsidR="00F34BEC" w:rsidRDefault="00F34BEC">
      <w:pPr>
        <w:pStyle w:val="NormalWeb"/>
        <w:numPr>
          <w:ilvl w:val="0"/>
          <w:numId w:val="16"/>
        </w:numPr>
      </w:pPr>
      <w:r>
        <w:t>Maintain youth advocacy and prevention efforts.</w:t>
      </w:r>
    </w:p>
    <w:p w14:paraId="4FACAD8F" w14:textId="77777777" w:rsidR="00F34BEC" w:rsidRDefault="00F34BEC">
      <w:pPr>
        <w:pStyle w:val="Heading2"/>
        <w:rPr>
          <w:rFonts w:eastAsia="Times New Roman"/>
        </w:rPr>
      </w:pPr>
      <w:r>
        <w:rPr>
          <w:rFonts w:eastAsia="Times New Roman"/>
        </w:rPr>
        <w:t>Impact Measurement</w:t>
      </w:r>
    </w:p>
    <w:p w14:paraId="2E8B140B" w14:textId="77777777" w:rsidR="00F34BEC" w:rsidRDefault="00F34BEC">
      <w:pPr>
        <w:pStyle w:val="NormalWeb"/>
        <w:numPr>
          <w:ilvl w:val="0"/>
          <w:numId w:val="17"/>
        </w:numPr>
      </w:pPr>
      <w:r>
        <w:t>Establish consistent reporting periods and definitions.</w:t>
      </w:r>
    </w:p>
    <w:p w14:paraId="288CB108" w14:textId="77777777" w:rsidR="00F34BEC" w:rsidRDefault="00F34BEC">
      <w:pPr>
        <w:pStyle w:val="NormalWeb"/>
        <w:numPr>
          <w:ilvl w:val="0"/>
          <w:numId w:val="17"/>
        </w:numPr>
      </w:pPr>
      <w:r>
        <w:t>Separate cash assistance from non-cash services.</w:t>
      </w:r>
    </w:p>
    <w:p w14:paraId="38703AE0" w14:textId="77777777" w:rsidR="00F34BEC" w:rsidRDefault="00F34BEC">
      <w:pPr>
        <w:pStyle w:val="NormalWeb"/>
        <w:numPr>
          <w:ilvl w:val="0"/>
          <w:numId w:val="17"/>
        </w:numPr>
      </w:pPr>
      <w:r>
        <w:t>Maintain current mission-hour and professional-service logs.</w:t>
      </w:r>
    </w:p>
    <w:p w14:paraId="448F7B57" w14:textId="77777777" w:rsidR="00F34BEC" w:rsidRDefault="00F34BEC">
      <w:pPr>
        <w:pStyle w:val="NormalWeb"/>
        <w:numPr>
          <w:ilvl w:val="0"/>
          <w:numId w:val="17"/>
        </w:numPr>
      </w:pPr>
      <w:r>
        <w:t>Track scholarship commitments, awards, and distributions separately.</w:t>
      </w:r>
    </w:p>
    <w:p w14:paraId="4F7B9BE3" w14:textId="77777777" w:rsidR="00F34BEC" w:rsidRDefault="00F34BEC">
      <w:pPr>
        <w:pStyle w:val="NormalWeb"/>
        <w:numPr>
          <w:ilvl w:val="0"/>
          <w:numId w:val="17"/>
        </w:numPr>
      </w:pPr>
      <w:r>
        <w:t>Reconcile incident-specific fundraising and distributions.</w:t>
      </w:r>
    </w:p>
    <w:p w14:paraId="541820CA" w14:textId="77777777" w:rsidR="00F34BEC" w:rsidRDefault="00F34BEC">
      <w:pPr>
        <w:pStyle w:val="NormalWeb"/>
        <w:numPr>
          <w:ilvl w:val="0"/>
          <w:numId w:val="17"/>
        </w:numPr>
      </w:pPr>
      <w:r>
        <w:t>Develop reliable beneficiary measures while avoiding double-counting.</w:t>
      </w:r>
    </w:p>
    <w:p w14:paraId="3CAED09B" w14:textId="77777777" w:rsidR="00F34BEC" w:rsidRDefault="00F34BEC">
      <w:pPr>
        <w:pStyle w:val="NormalWeb"/>
        <w:numPr>
          <w:ilvl w:val="0"/>
          <w:numId w:val="17"/>
        </w:numPr>
      </w:pPr>
      <w:r>
        <w:t>Publish annual impact figures only when supported by the underlying records.</w:t>
      </w:r>
    </w:p>
    <w:p w14:paraId="1985A161" w14:textId="77777777" w:rsidR="00F34BEC" w:rsidRDefault="00F34BEC">
      <w:pPr>
        <w:pStyle w:val="Heading2"/>
        <w:rPr>
          <w:rFonts w:eastAsia="Times New Roman"/>
        </w:rPr>
      </w:pPr>
      <w:r>
        <w:rPr>
          <w:rFonts w:eastAsia="Times New Roman"/>
        </w:rPr>
        <w:t>Board Engagement</w:t>
      </w:r>
    </w:p>
    <w:p w14:paraId="368CBC43" w14:textId="77777777" w:rsidR="00F34BEC" w:rsidRDefault="00F34BEC">
      <w:pPr>
        <w:pStyle w:val="NormalWeb"/>
      </w:pPr>
      <w:r>
        <w:t>The Board should support the Foundation through strategic oversight, fundraising participation, donor introductions, corporate and community relationships, and ongoing review of financial sustainability.</w:t>
      </w:r>
    </w:p>
    <w:p w14:paraId="501F2EC1" w14:textId="77777777" w:rsidR="00F34BEC" w:rsidRDefault="00F34BEC">
      <w:pPr>
        <w:pStyle w:val="NormalWeb"/>
      </w:pPr>
      <w:r>
        <w:t>Each Board member can contribute by opening doors to prospective supporters, identifying partnership opportunities, helping communicate the Foundation’s mission, and supporting a stronger recurring-donor base.</w:t>
      </w:r>
    </w:p>
    <w:p w14:paraId="575188D7" w14:textId="77777777" w:rsidR="00F34BEC" w:rsidRDefault="00F34BEC">
      <w:pPr>
        <w:pStyle w:val="NormalWeb"/>
      </w:pPr>
      <w:r>
        <w:t>The objective is to build an organization that can sustain its response work over time rather than depend on emergency fundraising alone.</w:t>
      </w:r>
    </w:p>
    <w:p w14:paraId="6DFB7B11" w14:textId="77777777" w:rsidR="00F34BEC" w:rsidRDefault="00F34BEC">
      <w:pPr>
        <w:rPr>
          <w:rFonts w:eastAsia="Times New Roman"/>
        </w:rPr>
      </w:pPr>
      <w:r>
        <w:rPr>
          <w:rFonts w:eastAsia="Times New Roman"/>
          <w:noProof/>
        </w:rPr>
        <mc:AlternateContent>
          <mc:Choice Requires="wps">
            <w:drawing>
              <wp:inline distT="0" distB="0" distL="0" distR="0" wp14:anchorId="19DDC5FA" wp14:editId="6C00D272">
                <wp:extent cx="5943600" cy="1270"/>
                <wp:effectExtent l="0" t="31750" r="0" b="36830"/>
                <wp:docPr id="3703528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D26DED4"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3AD28A5" w14:textId="77777777" w:rsidR="00F34BEC" w:rsidRDefault="00F34BEC">
      <w:pPr>
        <w:pStyle w:val="Heading1"/>
        <w:rPr>
          <w:rFonts w:eastAsia="Times New Roman"/>
        </w:rPr>
      </w:pPr>
      <w:r>
        <w:rPr>
          <w:rFonts w:eastAsia="Times New Roman"/>
        </w:rPr>
        <w:t>10. FINANCIAL AND IMPACT REPORTING NOTES</w:t>
      </w:r>
    </w:p>
    <w:p w14:paraId="04FD2A52" w14:textId="77777777" w:rsidR="00F34BEC" w:rsidRDefault="00F34BEC">
      <w:pPr>
        <w:pStyle w:val="NormalWeb"/>
      </w:pPr>
      <w:r>
        <w:t>This report draws on the Foundation’s published Financials &amp; Other Business page, its published 2025 financial summary, and the August, September, and October 2026 reporting information provided for this report.</w:t>
      </w:r>
    </w:p>
    <w:p w14:paraId="7F4D403C" w14:textId="77777777" w:rsidR="00F34BEC" w:rsidRDefault="00F34BEC">
      <w:pPr>
        <w:pStyle w:val="NormalWeb"/>
      </w:pPr>
      <w:r>
        <w:t>The 2025 financial figures are historical annual figures. The August and September 2026 figures are monthly reconciled reports. The October figures represent the confirmed cash position and recorded activity through October 22, 2026.</w:t>
      </w:r>
    </w:p>
    <w:p w14:paraId="51A643B1" w14:textId="77777777" w:rsidR="00F34BEC" w:rsidRDefault="00F34BEC">
      <w:pPr>
        <w:pStyle w:val="NormalWeb"/>
      </w:pPr>
      <w:r>
        <w:t>The cumulative mission-impact figures are estimates from successive reporting snapshots. They are not audited financial valuations and must not be added together.</w:t>
      </w:r>
    </w:p>
    <w:p w14:paraId="727FCDEA" w14:textId="77777777" w:rsidR="00F34BEC" w:rsidRDefault="00F34BEC">
      <w:pPr>
        <w:pStyle w:val="NormalWeb"/>
      </w:pPr>
      <w:r>
        <w:t>The $16,232 Bend campaign figure is a separately tracked fundraising and distribution measure and is not part of the Foundation’s general operating cash balance.</w:t>
      </w:r>
    </w:p>
    <w:p w14:paraId="2C0B8A70" w14:textId="77777777" w:rsidR="00F34BEC" w:rsidRDefault="00F34BEC">
      <w:pPr>
        <w:pStyle w:val="NormalWeb"/>
      </w:pPr>
      <w:r>
        <w:t>The $966.97 in October costs identified to date reflects rent, phone, and website costs reported as personally paid by the Founder. These costs must be distinguished from Foundation bank-account outflows.</w:t>
      </w:r>
    </w:p>
    <w:p w14:paraId="51CAAAE6" w14:textId="77777777" w:rsidR="00F34BEC" w:rsidRDefault="00F34BEC">
      <w:pPr>
        <w:pStyle w:val="NormalWeb"/>
      </w:pPr>
      <w:r>
        <w:t>The aggregate restricted cash balance is $77.43 as of October 22. Individual restricted-fund balances require reconciliation following the September funding adjustment.</w:t>
      </w:r>
    </w:p>
    <w:p w14:paraId="670B2CF1" w14:textId="77777777" w:rsidR="00F34BEC" w:rsidRDefault="00F34BEC">
      <w:pPr>
        <w:pStyle w:val="NormalWeb"/>
      </w:pPr>
      <w:r>
        <w:t>The 2026 financial year and October reporting period remain open. No final full-year 2026 financial result is claimed in this report.</w:t>
      </w:r>
    </w:p>
    <w:p w14:paraId="32C80F44" w14:textId="77777777" w:rsidR="00F34BEC" w:rsidRDefault="00F34BEC">
      <w:pPr>
        <w:pStyle w:val="NormalWeb"/>
      </w:pPr>
      <w:r>
        <w:t>For historical filings and supporting financial documents, see:</w:t>
      </w:r>
    </w:p>
    <w:p w14:paraId="3FFE64E4" w14:textId="77777777" w:rsidR="00F34BEC" w:rsidRDefault="00F34BEC">
      <w:pPr>
        <w:pStyle w:val="NormalWeb"/>
      </w:pPr>
      <w:hyperlink r:id="rId11" w:history="1">
        <w:r>
          <w:rPr>
            <w:rStyle w:val="Hyperlink"/>
          </w:rPr>
          <w:t>https://www.theuvaldefoundation.com/general-8</w:t>
        </w:r>
      </w:hyperlink>
    </w:p>
    <w:p w14:paraId="1D7159B8" w14:textId="77777777" w:rsidR="00F34BEC" w:rsidRDefault="00F34BEC">
      <w:pPr>
        <w:rPr>
          <w:rFonts w:eastAsia="Times New Roman"/>
        </w:rPr>
      </w:pPr>
      <w:r>
        <w:rPr>
          <w:rFonts w:eastAsia="Times New Roman"/>
          <w:noProof/>
        </w:rPr>
        <mc:AlternateContent>
          <mc:Choice Requires="wps">
            <w:drawing>
              <wp:inline distT="0" distB="0" distL="0" distR="0" wp14:anchorId="76965C51" wp14:editId="016087D7">
                <wp:extent cx="5943600" cy="1270"/>
                <wp:effectExtent l="0" t="31750" r="0" b="36830"/>
                <wp:docPr id="176642853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56EAD91"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08BA7FC" w14:textId="77777777" w:rsidR="00F34BEC" w:rsidRDefault="00F34BEC">
      <w:pPr>
        <w:pStyle w:val="Heading1"/>
        <w:rPr>
          <w:rFonts w:eastAsia="Times New Roman"/>
        </w:rPr>
      </w:pPr>
      <w:r>
        <w:rPr>
          <w:rFonts w:eastAsia="Times New Roman"/>
        </w:rPr>
        <w:t>CLOSING STATEMENT</w:t>
      </w:r>
    </w:p>
    <w:p w14:paraId="28B8349B" w14:textId="77777777" w:rsidR="00F34BEC" w:rsidRDefault="00F34BEC">
      <w:pPr>
        <w:pStyle w:val="NormalWeb"/>
      </w:pPr>
      <w:r>
        <w:t>The Youth Peace &amp; Justice Foundation began in the aftermath of the Robb Elementary School tragedy in 2022 with a commitment to stand beside families and communities affected by violence.</w:t>
      </w:r>
    </w:p>
    <w:p w14:paraId="3DC6F1C7" w14:textId="77777777" w:rsidR="00F34BEC" w:rsidRDefault="00F34BEC">
      <w:pPr>
        <w:pStyle w:val="NormalWeb"/>
      </w:pPr>
      <w:r>
        <w:t>Over the years since its founding, the organization’s mission has expanded into a national effort involving crisis response, emergency assistance, youth safety, bullying prevention, advocacy, scholarship development, memorial initiatives, and community support.</w:t>
      </w:r>
    </w:p>
    <w:p w14:paraId="14364679" w14:textId="77777777" w:rsidR="00F34BEC" w:rsidRDefault="00F34BEC">
      <w:pPr>
        <w:pStyle w:val="NormalWeb"/>
      </w:pPr>
      <w:r>
        <w:t>The Foundation’s published financial record for 2025 demonstrates substantial charitable contributions and operating activity, while also showing the need to grow revenue and protect reserves. Its 2026 monthly reports document continuing mission activity and a debt-free position, alongside a serious shortage of unrestricted operating cash.</w:t>
      </w:r>
    </w:p>
    <w:p w14:paraId="013A4802" w14:textId="77777777" w:rsidR="00F34BEC" w:rsidRDefault="00F34BEC">
      <w:pPr>
        <w:pStyle w:val="NormalWeb"/>
      </w:pPr>
      <w:r>
        <w:t>The path forward requires both continued mission commitment and financial discipline. The Foundation must maintain the capacity to respond when communities need help while building the recurring support, partnerships, reserves, and documentation needed to sustain that work.</w:t>
      </w:r>
    </w:p>
    <w:p w14:paraId="33E9231C" w14:textId="77777777" w:rsidR="00F34BEC" w:rsidRDefault="00F34BEC">
      <w:pPr>
        <w:pStyle w:val="NormalWeb"/>
      </w:pPr>
      <w:r>
        <w:t>The Board, donors, professional volunteers, community partners, and supporters all have a role in helping the Foundation grow responsibly.</w:t>
      </w:r>
    </w:p>
    <w:p w14:paraId="11F4AD5C" w14:textId="77777777" w:rsidR="00F34BEC" w:rsidRDefault="00F34BEC">
      <w:pPr>
        <w:pStyle w:val="NormalWeb"/>
      </w:pPr>
      <w:r>
        <w:t>The Foundation’s commitment remains clear:</w:t>
      </w:r>
    </w:p>
    <w:p w14:paraId="72AB6CA3" w14:textId="77777777" w:rsidR="00F34BEC" w:rsidRDefault="00F34BEC">
      <w:pPr>
        <w:pStyle w:val="Heading2"/>
        <w:rPr>
          <w:rFonts w:eastAsia="Times New Roman"/>
        </w:rPr>
      </w:pPr>
      <w:r>
        <w:rPr>
          <w:rFonts w:eastAsia="Times New Roman"/>
        </w:rPr>
        <w:t>Recognize. Intervene. Prevent.</w:t>
      </w:r>
    </w:p>
    <w:p w14:paraId="357392FA" w14:textId="77777777" w:rsidR="00F34BEC" w:rsidRDefault="00F34BEC">
      <w:pPr>
        <w:pStyle w:val="NormalWeb"/>
      </w:pPr>
      <w:r>
        <w:t>Together, the organization and its supporters can continue working toward safer communities, stronger support for families, meaningful opportunities for young people, and a lasting legacy of peace and justice.</w:t>
      </w:r>
    </w:p>
    <w:p w14:paraId="2DDA5651" w14:textId="77777777" w:rsidR="00F34BEC" w:rsidRDefault="00F34BEC">
      <w:pPr>
        <w:pStyle w:val="NormalWeb"/>
      </w:pPr>
      <w:r>
        <w:t>Respectfully submitted,</w:t>
      </w:r>
    </w:p>
    <w:p w14:paraId="2C2E1E92" w14:textId="77777777" w:rsidR="00F34BEC" w:rsidRDefault="00F34BEC">
      <w:pPr>
        <w:pStyle w:val="NormalWeb"/>
      </w:pPr>
      <w:r>
        <w:rPr>
          <w:rStyle w:val="Strong"/>
        </w:rPr>
        <w:t>Daniel Bodhi Chapin</w:t>
      </w:r>
      <w:r>
        <w:br/>
        <w:t>Founder &amp; National Director</w:t>
      </w:r>
      <w:r>
        <w:br/>
        <w:t>Youth Peace &amp; Justice Foundation</w:t>
      </w:r>
      <w:r>
        <w:br/>
        <w:t>Also known as The Uvalde Foundation For Kids</w:t>
      </w:r>
      <w:r>
        <w:br/>
        <w:t>Charity ID/EIN: 88-3268749</w:t>
      </w:r>
      <w:r>
        <w:br/>
        <w:t>Phone: (254) 499-8027</w:t>
      </w:r>
      <w:r>
        <w:br/>
        <w:t xml:space="preserve">Website: </w:t>
      </w:r>
      <w:hyperlink r:id="rId12" w:history="1">
        <w:r>
          <w:rPr>
            <w:rStyle w:val="Hyperlink"/>
          </w:rPr>
          <w:t>https://www.theuvaldefoundation.com</w:t>
        </w:r>
      </w:hyperlink>
      <w:r>
        <w:br/>
        <w:t xml:space="preserve">Email: </w:t>
      </w:r>
      <w:hyperlink r:id="rId13" w:history="1">
        <w:r>
          <w:rPr>
            <w:rStyle w:val="Hyperlink"/>
          </w:rPr>
          <w:t>youthpeacejusticefoundation@gmail.com</w:t>
        </w:r>
      </w:hyperlink>
    </w:p>
    <w:p w14:paraId="6D19C167" w14:textId="77777777" w:rsidR="00F34BEC" w:rsidRDefault="00F34BEC"/>
    <w:sectPr w:rsidR="00F34B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D16F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E52C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A0044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D68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D1F8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7E17F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AE233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C512B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E119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542EA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B178F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BC648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496AA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68374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8977B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641C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17094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8192150">
    <w:abstractNumId w:val="0"/>
  </w:num>
  <w:num w:numId="2" w16cid:durableId="1528447046">
    <w:abstractNumId w:val="6"/>
  </w:num>
  <w:num w:numId="3" w16cid:durableId="1231816072">
    <w:abstractNumId w:val="15"/>
  </w:num>
  <w:num w:numId="4" w16cid:durableId="1661959222">
    <w:abstractNumId w:val="13"/>
  </w:num>
  <w:num w:numId="5" w16cid:durableId="1105997236">
    <w:abstractNumId w:val="14"/>
  </w:num>
  <w:num w:numId="6" w16cid:durableId="1737437478">
    <w:abstractNumId w:val="3"/>
  </w:num>
  <w:num w:numId="7" w16cid:durableId="1886521427">
    <w:abstractNumId w:val="8"/>
  </w:num>
  <w:num w:numId="8" w16cid:durableId="276645602">
    <w:abstractNumId w:val="1"/>
  </w:num>
  <w:num w:numId="9" w16cid:durableId="128058138">
    <w:abstractNumId w:val="2"/>
  </w:num>
  <w:num w:numId="10" w16cid:durableId="846486035">
    <w:abstractNumId w:val="7"/>
  </w:num>
  <w:num w:numId="11" w16cid:durableId="2004039935">
    <w:abstractNumId w:val="10"/>
  </w:num>
  <w:num w:numId="12" w16cid:durableId="515777246">
    <w:abstractNumId w:val="11"/>
  </w:num>
  <w:num w:numId="13" w16cid:durableId="417480368">
    <w:abstractNumId w:val="9"/>
  </w:num>
  <w:num w:numId="14" w16cid:durableId="1690985203">
    <w:abstractNumId w:val="4"/>
  </w:num>
  <w:num w:numId="15" w16cid:durableId="227419578">
    <w:abstractNumId w:val="12"/>
  </w:num>
  <w:num w:numId="16" w16cid:durableId="589971437">
    <w:abstractNumId w:val="16"/>
  </w:num>
  <w:num w:numId="17" w16cid:durableId="5941723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EC"/>
    <w:rsid w:val="00526DCF"/>
    <w:rsid w:val="00F34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48D4F8"/>
  <w15:chartTrackingRefBased/>
  <w15:docId w15:val="{1E997521-D75A-BC47-9AB1-14509D43A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4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4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4B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4B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4B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4B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4B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4B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4B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B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4B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4B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4B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4B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4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4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4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4BEC"/>
    <w:rPr>
      <w:rFonts w:eastAsiaTheme="majorEastAsia" w:cstheme="majorBidi"/>
      <w:color w:val="272727" w:themeColor="text1" w:themeTint="D8"/>
    </w:rPr>
  </w:style>
  <w:style w:type="paragraph" w:styleId="Title">
    <w:name w:val="Title"/>
    <w:basedOn w:val="Normal"/>
    <w:next w:val="Normal"/>
    <w:link w:val="TitleChar"/>
    <w:uiPriority w:val="10"/>
    <w:qFormat/>
    <w:rsid w:val="00F34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4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4B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4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4BEC"/>
    <w:pPr>
      <w:spacing w:before="160"/>
      <w:jc w:val="center"/>
    </w:pPr>
    <w:rPr>
      <w:i/>
      <w:iCs/>
      <w:color w:val="404040" w:themeColor="text1" w:themeTint="BF"/>
    </w:rPr>
  </w:style>
  <w:style w:type="character" w:customStyle="1" w:styleId="QuoteChar">
    <w:name w:val="Quote Char"/>
    <w:basedOn w:val="DefaultParagraphFont"/>
    <w:link w:val="Quote"/>
    <w:uiPriority w:val="29"/>
    <w:rsid w:val="00F34BEC"/>
    <w:rPr>
      <w:i/>
      <w:iCs/>
      <w:color w:val="404040" w:themeColor="text1" w:themeTint="BF"/>
    </w:rPr>
  </w:style>
  <w:style w:type="paragraph" w:styleId="ListParagraph">
    <w:name w:val="List Paragraph"/>
    <w:basedOn w:val="Normal"/>
    <w:uiPriority w:val="34"/>
    <w:qFormat/>
    <w:rsid w:val="00F34BEC"/>
    <w:pPr>
      <w:ind w:left="720"/>
      <w:contextualSpacing/>
    </w:pPr>
  </w:style>
  <w:style w:type="character" w:styleId="IntenseEmphasis">
    <w:name w:val="Intense Emphasis"/>
    <w:basedOn w:val="DefaultParagraphFont"/>
    <w:uiPriority w:val="21"/>
    <w:qFormat/>
    <w:rsid w:val="00F34BEC"/>
    <w:rPr>
      <w:i/>
      <w:iCs/>
      <w:color w:val="0F4761" w:themeColor="accent1" w:themeShade="BF"/>
    </w:rPr>
  </w:style>
  <w:style w:type="paragraph" w:styleId="IntenseQuote">
    <w:name w:val="Intense Quote"/>
    <w:basedOn w:val="Normal"/>
    <w:next w:val="Normal"/>
    <w:link w:val="IntenseQuoteChar"/>
    <w:uiPriority w:val="30"/>
    <w:qFormat/>
    <w:rsid w:val="00F34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4BEC"/>
    <w:rPr>
      <w:i/>
      <w:iCs/>
      <w:color w:val="0F4761" w:themeColor="accent1" w:themeShade="BF"/>
    </w:rPr>
  </w:style>
  <w:style w:type="character" w:styleId="IntenseReference">
    <w:name w:val="Intense Reference"/>
    <w:basedOn w:val="DefaultParagraphFont"/>
    <w:uiPriority w:val="32"/>
    <w:qFormat/>
    <w:rsid w:val="00F34BEC"/>
    <w:rPr>
      <w:b/>
      <w:bCs/>
      <w:smallCaps/>
      <w:color w:val="0F4761" w:themeColor="accent1" w:themeShade="BF"/>
      <w:spacing w:val="5"/>
    </w:rPr>
  </w:style>
  <w:style w:type="paragraph" w:styleId="NormalWeb">
    <w:name w:val="Normal (Web)"/>
    <w:basedOn w:val="Normal"/>
    <w:uiPriority w:val="99"/>
    <w:semiHidden/>
    <w:unhideWhenUsed/>
    <w:rsid w:val="00F34BEC"/>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F34BEC"/>
    <w:rPr>
      <w:b/>
      <w:bCs/>
    </w:rPr>
  </w:style>
  <w:style w:type="character" w:styleId="Hyperlink">
    <w:name w:val="Hyperlink"/>
    <w:basedOn w:val="DefaultParagraphFont"/>
    <w:uiPriority w:val="99"/>
    <w:semiHidden/>
    <w:unhideWhenUsed/>
    <w:rsid w:val="00F34BEC"/>
    <w:rPr>
      <w:color w:val="0000FF"/>
      <w:u w:val="single"/>
    </w:rPr>
  </w:style>
  <w:style w:type="character" w:styleId="Emphasis">
    <w:name w:val="Emphasis"/>
    <w:basedOn w:val="DefaultParagraphFont"/>
    <w:uiPriority w:val="20"/>
    <w:qFormat/>
    <w:rsid w:val="00F34B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uvaldefoundation.com/general-8" TargetMode="External" /><Relationship Id="rId13" Type="http://schemas.openxmlformats.org/officeDocument/2006/relationships/hyperlink" Target="mailto:youthpeacejusticefoundation@gmail.com" TargetMode="External" /><Relationship Id="rId3" Type="http://schemas.openxmlformats.org/officeDocument/2006/relationships/settings" Target="settings.xml" /><Relationship Id="rId7" Type="http://schemas.openxmlformats.org/officeDocument/2006/relationships/hyperlink" Target="https://www.theuvaldefoundation.com/general-8" TargetMode="External" /><Relationship Id="rId12" Type="http://schemas.openxmlformats.org/officeDocument/2006/relationships/hyperlink" Target="https://www.theuvaldefoundation.com/"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youthpeacejusticefoundation@gmail.com" TargetMode="External" /><Relationship Id="rId11" Type="http://schemas.openxmlformats.org/officeDocument/2006/relationships/hyperlink" Target="https://www.theuvaldefoundation.com/general-8" TargetMode="External" /><Relationship Id="rId5" Type="http://schemas.openxmlformats.org/officeDocument/2006/relationships/hyperlink" Target="https://www.theuvaldefoundation.com/" TargetMode="External" /><Relationship Id="rId15" Type="http://schemas.openxmlformats.org/officeDocument/2006/relationships/theme" Target="theme/theme1.xml" /><Relationship Id="rId10" Type="http://schemas.openxmlformats.org/officeDocument/2006/relationships/hyperlink" Target="https://www.theuvaldefoundation.com/general-8" TargetMode="External" /><Relationship Id="rId4" Type="http://schemas.openxmlformats.org/officeDocument/2006/relationships/webSettings" Target="webSettings.xml" /><Relationship Id="rId9" Type="http://schemas.openxmlformats.org/officeDocument/2006/relationships/hyperlink" Target="https://www.theuvaldefoundation.com/projects-8" TargetMode="Externa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5498</Words>
  <Characters>31344</Characters>
  <Application>Microsoft Office Word</Application>
  <DocSecurity>0</DocSecurity>
  <Lines>261</Lines>
  <Paragraphs>73</Paragraphs>
  <ScaleCrop>false</ScaleCrop>
  <Company/>
  <LinksUpToDate>false</LinksUpToDate>
  <CharactersWithSpaces>36769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dbodhichapin@gmail.com</dc:creator>
  <cp:keywords/>
  <dc:description/>
  <cp:lastModifiedBy>dbodhichapin@gmail.com</cp:lastModifiedBy>
  <cp:revision>2</cp:revision>
  <dcterms:created xsi:type="dcterms:W3CDTF">2026-10-22T15:30:00Z</dcterms:created>
  <dcterms:modified xsi:type="dcterms:W3CDTF">2026-10-22T15:30:00Z</dcterms:modified>
</cp:coreProperties>
</file>